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28" w:rsidRPr="007E19FF" w:rsidRDefault="00944628" w:rsidP="00944628">
      <w:pPr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E19FF">
        <w:rPr>
          <w:rFonts w:ascii="Times New Roman" w:hAnsi="Times New Roman" w:cs="Times New Roman"/>
          <w:b/>
          <w:sz w:val="30"/>
          <w:szCs w:val="30"/>
        </w:rPr>
        <w:t>Деятельность публичных центров правовой информации</w:t>
      </w:r>
      <w:r w:rsidR="00473694" w:rsidRPr="007E19FF">
        <w:rPr>
          <w:rFonts w:ascii="Times New Roman" w:hAnsi="Times New Roman" w:cs="Times New Roman"/>
          <w:b/>
          <w:sz w:val="30"/>
          <w:szCs w:val="30"/>
        </w:rPr>
        <w:t xml:space="preserve"> в 2016</w:t>
      </w:r>
      <w:r w:rsidR="007E19FF" w:rsidRPr="00BC68C1">
        <w:rPr>
          <w:rFonts w:ascii="Times New Roman" w:hAnsi="Times New Roman" w:cs="Times New Roman"/>
          <w:b/>
          <w:sz w:val="30"/>
          <w:szCs w:val="30"/>
          <w:lang w:val="be-BY"/>
        </w:rPr>
        <w:t>–</w:t>
      </w:r>
      <w:r w:rsidR="00473694" w:rsidRPr="007E19FF">
        <w:rPr>
          <w:rFonts w:ascii="Times New Roman" w:hAnsi="Times New Roman" w:cs="Times New Roman"/>
          <w:b/>
          <w:sz w:val="30"/>
          <w:szCs w:val="30"/>
        </w:rPr>
        <w:t>2020 гг.</w:t>
      </w:r>
    </w:p>
    <w:p w:rsidR="0036584D" w:rsidRPr="007E19FF" w:rsidRDefault="0036584D" w:rsidP="0036584D">
      <w:pPr>
        <w:spacing w:after="0"/>
        <w:ind w:left="4956" w:firstLine="708"/>
        <w:rPr>
          <w:rFonts w:ascii="Times New Roman" w:hAnsi="Times New Roman" w:cs="Times New Roman"/>
          <w:i/>
          <w:sz w:val="30"/>
          <w:szCs w:val="30"/>
        </w:rPr>
      </w:pPr>
      <w:r w:rsidRPr="007E19FF">
        <w:rPr>
          <w:rFonts w:ascii="Times New Roman" w:hAnsi="Times New Roman" w:cs="Times New Roman"/>
          <w:i/>
          <w:sz w:val="30"/>
          <w:szCs w:val="30"/>
        </w:rPr>
        <w:t>Кукета И.И</w:t>
      </w:r>
      <w:r w:rsidRPr="00BC68C1">
        <w:rPr>
          <w:rFonts w:ascii="Times New Roman" w:hAnsi="Times New Roman" w:cs="Times New Roman"/>
          <w:i/>
          <w:sz w:val="30"/>
          <w:szCs w:val="30"/>
        </w:rPr>
        <w:t>.,</w:t>
      </w:r>
      <w:r w:rsidRPr="007E19FF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36584D" w:rsidRPr="007E19FF" w:rsidRDefault="0036584D" w:rsidP="0036584D">
      <w:pPr>
        <w:spacing w:after="0"/>
        <w:ind w:left="5664"/>
        <w:rPr>
          <w:rFonts w:ascii="Times New Roman" w:hAnsi="Times New Roman" w:cs="Times New Roman"/>
          <w:i/>
          <w:sz w:val="30"/>
          <w:szCs w:val="30"/>
        </w:rPr>
      </w:pPr>
      <w:r w:rsidRPr="007E19FF">
        <w:rPr>
          <w:rFonts w:ascii="Times New Roman" w:hAnsi="Times New Roman" w:cs="Times New Roman"/>
          <w:i/>
          <w:sz w:val="30"/>
          <w:szCs w:val="30"/>
        </w:rPr>
        <w:t>главный библиотекарь научно-исследовательского отдела библиотековедения</w:t>
      </w:r>
    </w:p>
    <w:p w:rsidR="00944628" w:rsidRPr="007E19FF" w:rsidRDefault="007E19FF" w:rsidP="009446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период с 2016 по 2020 </w:t>
      </w:r>
      <w:r w:rsidRPr="00BC68C1">
        <w:rPr>
          <w:rFonts w:ascii="Times New Roman" w:hAnsi="Times New Roman" w:cs="Times New Roman"/>
          <w:sz w:val="30"/>
          <w:szCs w:val="30"/>
        </w:rPr>
        <w:t>г</w:t>
      </w:r>
      <w:r w:rsidR="00944628" w:rsidRPr="00BC68C1">
        <w:rPr>
          <w:rFonts w:ascii="Times New Roman" w:hAnsi="Times New Roman" w:cs="Times New Roman"/>
          <w:sz w:val="30"/>
          <w:szCs w:val="30"/>
        </w:rPr>
        <w:t>.</w:t>
      </w:r>
      <w:r w:rsidR="00944628" w:rsidRPr="007E19FF">
        <w:rPr>
          <w:rFonts w:ascii="Times New Roman" w:hAnsi="Times New Roman" w:cs="Times New Roman"/>
          <w:sz w:val="30"/>
          <w:szCs w:val="30"/>
        </w:rPr>
        <w:t xml:space="preserve"> с целью создания единого информационно-правового пространства в </w:t>
      </w:r>
      <w:r w:rsidR="005D5639" w:rsidRPr="007E19FF">
        <w:rPr>
          <w:rFonts w:ascii="Times New Roman" w:hAnsi="Times New Roman" w:cs="Times New Roman"/>
          <w:sz w:val="30"/>
          <w:szCs w:val="30"/>
        </w:rPr>
        <w:t>Республике Беларусь</w:t>
      </w:r>
      <w:r w:rsidR="00944628" w:rsidRPr="007E19FF">
        <w:rPr>
          <w:rFonts w:ascii="Times New Roman" w:hAnsi="Times New Roman" w:cs="Times New Roman"/>
          <w:sz w:val="30"/>
          <w:szCs w:val="30"/>
        </w:rPr>
        <w:t xml:space="preserve"> и обеспечения конституционного права граждан на получение полной, официальной и актуальной правовой информации, а также для повышения правовой культуры общества, получила </w:t>
      </w:r>
      <w:r w:rsidR="00365A00" w:rsidRPr="007E19FF">
        <w:rPr>
          <w:rFonts w:ascii="Times New Roman" w:hAnsi="Times New Roman" w:cs="Times New Roman"/>
          <w:sz w:val="30"/>
          <w:szCs w:val="30"/>
        </w:rPr>
        <w:t xml:space="preserve">свое </w:t>
      </w:r>
      <w:r w:rsidR="00944628" w:rsidRPr="007E19FF">
        <w:rPr>
          <w:rFonts w:ascii="Times New Roman" w:hAnsi="Times New Roman" w:cs="Times New Roman"/>
          <w:sz w:val="30"/>
          <w:szCs w:val="30"/>
        </w:rPr>
        <w:t xml:space="preserve">дальнейшее развитие организация публичных центров правовой информации (ПЦПИ) на базе государственных публичных библиотек страны. </w:t>
      </w:r>
    </w:p>
    <w:p w:rsidR="00BF58BD" w:rsidRPr="007E19FF" w:rsidRDefault="00944628" w:rsidP="009446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19FF">
        <w:rPr>
          <w:rFonts w:ascii="Times New Roman" w:hAnsi="Times New Roman" w:cs="Times New Roman"/>
          <w:sz w:val="30"/>
          <w:szCs w:val="30"/>
        </w:rPr>
        <w:t>Мероприятия по развитию сети ПЦПИ и совершенствованию их деятельности были включены в План мероприятий по правовому просвещению граждан на 2016</w:t>
      </w:r>
      <w:r w:rsidR="007E19FF" w:rsidRPr="00BC68C1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7E19FF">
        <w:rPr>
          <w:rFonts w:ascii="Times New Roman" w:hAnsi="Times New Roman" w:cs="Times New Roman"/>
          <w:sz w:val="30"/>
          <w:szCs w:val="30"/>
        </w:rPr>
        <w:t>2020 гг., утвержденный постановлением Совета Министров Республики Беларусь от 20 января 2016г. № 37.</w:t>
      </w:r>
    </w:p>
    <w:p w:rsidR="00D12DDB" w:rsidRPr="007E19FF" w:rsidRDefault="002648FA" w:rsidP="009446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19FF">
        <w:rPr>
          <w:rFonts w:ascii="Times New Roman" w:hAnsi="Times New Roman" w:cs="Times New Roman"/>
          <w:sz w:val="30"/>
          <w:szCs w:val="30"/>
        </w:rPr>
        <w:t xml:space="preserve">Сегодня деятельность публичных центров правовой информации вышла на качественно новый уровень, закрепившись как одна из основных в перечне функций, возлагаемых на публичные библиотеки. Об этом свидетельствует и тот факт, что в Кодексе Республики Беларусь о культуре, вступившем в силу с февраля 2017 г., распространение правовых знаний является одним из основных принципов деятельности библиотек, а обеспечение доступа к эталонной правовой информации включено в </w:t>
      </w:r>
      <w:r w:rsidR="003E17CA" w:rsidRPr="007E19FF">
        <w:rPr>
          <w:rFonts w:ascii="Times New Roman" w:hAnsi="Times New Roman" w:cs="Times New Roman"/>
          <w:sz w:val="30"/>
          <w:szCs w:val="30"/>
        </w:rPr>
        <w:t>статью 137</w:t>
      </w:r>
      <w:r w:rsidRPr="007E19FF">
        <w:rPr>
          <w:rFonts w:ascii="Times New Roman" w:hAnsi="Times New Roman" w:cs="Times New Roman"/>
          <w:sz w:val="30"/>
          <w:szCs w:val="30"/>
        </w:rPr>
        <w:t xml:space="preserve"> «</w:t>
      </w:r>
      <w:r w:rsidR="003E17CA" w:rsidRPr="007E19FF">
        <w:rPr>
          <w:rFonts w:ascii="Times New Roman" w:hAnsi="Times New Roman" w:cs="Times New Roman"/>
          <w:sz w:val="30"/>
          <w:szCs w:val="30"/>
        </w:rPr>
        <w:t xml:space="preserve">Правы і </w:t>
      </w:r>
      <w:proofErr w:type="spellStart"/>
      <w:r w:rsidR="003E17CA" w:rsidRPr="007E19FF">
        <w:rPr>
          <w:rFonts w:ascii="Times New Roman" w:hAnsi="Times New Roman" w:cs="Times New Roman"/>
          <w:sz w:val="30"/>
          <w:szCs w:val="30"/>
        </w:rPr>
        <w:t>абавязкі</w:t>
      </w:r>
      <w:proofErr w:type="spellEnd"/>
      <w:r w:rsidR="003E17CA" w:rsidRPr="007E19F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E17CA" w:rsidRPr="007E19FF">
        <w:rPr>
          <w:rFonts w:ascii="Times New Roman" w:hAnsi="Times New Roman" w:cs="Times New Roman"/>
          <w:sz w:val="30"/>
          <w:szCs w:val="30"/>
        </w:rPr>
        <w:t>бібліятэк</w:t>
      </w:r>
      <w:proofErr w:type="spellEnd"/>
      <w:r w:rsidRPr="007E19FF">
        <w:rPr>
          <w:rFonts w:ascii="Times New Roman" w:hAnsi="Times New Roman" w:cs="Times New Roman"/>
          <w:sz w:val="30"/>
          <w:szCs w:val="30"/>
        </w:rPr>
        <w:t>».</w:t>
      </w:r>
    </w:p>
    <w:p w:rsidR="00157503" w:rsidRPr="007E19FF" w:rsidRDefault="00A00185" w:rsidP="009446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19FF">
        <w:rPr>
          <w:rFonts w:ascii="Times New Roman" w:hAnsi="Times New Roman" w:cs="Times New Roman"/>
          <w:sz w:val="30"/>
          <w:szCs w:val="30"/>
        </w:rPr>
        <w:t>В результате плодотворной совместной работы Национального центра правовой информации Республики Беларусь (НЦПИ</w:t>
      </w:r>
      <w:r w:rsidR="002B6D02" w:rsidRPr="007E19FF">
        <w:rPr>
          <w:rFonts w:ascii="Times New Roman" w:hAnsi="Times New Roman" w:cs="Times New Roman"/>
          <w:sz w:val="30"/>
          <w:szCs w:val="30"/>
        </w:rPr>
        <w:t xml:space="preserve"> РБ</w:t>
      </w:r>
      <w:r w:rsidRPr="007E19FF">
        <w:rPr>
          <w:rFonts w:ascii="Times New Roman" w:hAnsi="Times New Roman" w:cs="Times New Roman"/>
          <w:sz w:val="30"/>
          <w:szCs w:val="30"/>
        </w:rPr>
        <w:t>), Министерства культуры Республики Беларусь</w:t>
      </w:r>
      <w:r w:rsidR="009809CF" w:rsidRPr="007E19FF">
        <w:rPr>
          <w:rFonts w:ascii="Times New Roman" w:hAnsi="Times New Roman" w:cs="Times New Roman"/>
          <w:sz w:val="30"/>
          <w:szCs w:val="30"/>
        </w:rPr>
        <w:t xml:space="preserve"> (МК РБ)</w:t>
      </w:r>
      <w:r w:rsidRPr="007E19FF">
        <w:rPr>
          <w:rFonts w:ascii="Times New Roman" w:hAnsi="Times New Roman" w:cs="Times New Roman"/>
          <w:sz w:val="30"/>
          <w:szCs w:val="30"/>
        </w:rPr>
        <w:t>, областных исполнительных комитетов, а также региональных центров п</w:t>
      </w:r>
      <w:r w:rsidR="0018190F" w:rsidRPr="007E19FF">
        <w:rPr>
          <w:rFonts w:ascii="Times New Roman" w:hAnsi="Times New Roman" w:cs="Times New Roman"/>
          <w:sz w:val="30"/>
          <w:szCs w:val="30"/>
        </w:rPr>
        <w:t>равовой информации</w:t>
      </w:r>
      <w:r w:rsidR="000E2DF2" w:rsidRPr="007E19FF">
        <w:rPr>
          <w:rFonts w:ascii="Times New Roman" w:hAnsi="Times New Roman" w:cs="Times New Roman"/>
          <w:sz w:val="30"/>
          <w:szCs w:val="30"/>
        </w:rPr>
        <w:t>,</w:t>
      </w:r>
      <w:r w:rsidR="0018190F" w:rsidRPr="007E19FF">
        <w:rPr>
          <w:rFonts w:ascii="Times New Roman" w:hAnsi="Times New Roman" w:cs="Times New Roman"/>
          <w:sz w:val="30"/>
          <w:szCs w:val="30"/>
        </w:rPr>
        <w:t xml:space="preserve"> на конец 2020</w:t>
      </w:r>
      <w:r w:rsidRPr="007E19FF">
        <w:rPr>
          <w:rFonts w:ascii="Times New Roman" w:hAnsi="Times New Roman" w:cs="Times New Roman"/>
          <w:sz w:val="30"/>
          <w:szCs w:val="30"/>
        </w:rPr>
        <w:t xml:space="preserve"> г. </w:t>
      </w:r>
      <w:r w:rsidR="002B6D02" w:rsidRPr="007E19FF">
        <w:rPr>
          <w:rFonts w:ascii="Times New Roman" w:hAnsi="Times New Roman" w:cs="Times New Roman"/>
          <w:sz w:val="30"/>
          <w:szCs w:val="30"/>
        </w:rPr>
        <w:t xml:space="preserve">в стране </w:t>
      </w:r>
      <w:r w:rsidR="009809CF" w:rsidRPr="007E19FF">
        <w:rPr>
          <w:rFonts w:ascii="Times New Roman" w:hAnsi="Times New Roman" w:cs="Times New Roman"/>
          <w:sz w:val="30"/>
          <w:szCs w:val="30"/>
        </w:rPr>
        <w:t xml:space="preserve">было </w:t>
      </w:r>
      <w:r w:rsidRPr="007E19FF">
        <w:rPr>
          <w:rFonts w:ascii="Times New Roman" w:hAnsi="Times New Roman" w:cs="Times New Roman"/>
          <w:sz w:val="30"/>
          <w:szCs w:val="30"/>
        </w:rPr>
        <w:t>создано и функ</w:t>
      </w:r>
      <w:r w:rsidR="009809CF" w:rsidRPr="007E19FF">
        <w:rPr>
          <w:rFonts w:ascii="Times New Roman" w:hAnsi="Times New Roman" w:cs="Times New Roman"/>
          <w:sz w:val="30"/>
          <w:szCs w:val="30"/>
        </w:rPr>
        <w:t>ционировало</w:t>
      </w:r>
      <w:r w:rsidR="00F66AA9" w:rsidRPr="007E19FF">
        <w:rPr>
          <w:rFonts w:ascii="Times New Roman" w:hAnsi="Times New Roman" w:cs="Times New Roman"/>
          <w:sz w:val="30"/>
          <w:szCs w:val="30"/>
        </w:rPr>
        <w:t xml:space="preserve"> 627</w:t>
      </w:r>
      <w:r w:rsidRPr="007E19FF">
        <w:rPr>
          <w:rFonts w:ascii="Times New Roman" w:hAnsi="Times New Roman" w:cs="Times New Roman"/>
          <w:sz w:val="30"/>
          <w:szCs w:val="30"/>
        </w:rPr>
        <w:t xml:space="preserve"> ПЦПИ.  За последние пять лет</w:t>
      </w:r>
      <w:r w:rsidR="00F66AA9" w:rsidRPr="007E19FF">
        <w:rPr>
          <w:rFonts w:ascii="Times New Roman" w:hAnsi="Times New Roman" w:cs="Times New Roman"/>
          <w:sz w:val="30"/>
          <w:szCs w:val="30"/>
        </w:rPr>
        <w:t xml:space="preserve"> их количест</w:t>
      </w:r>
      <w:r w:rsidR="00365A00" w:rsidRPr="007E19FF">
        <w:rPr>
          <w:rFonts w:ascii="Times New Roman" w:hAnsi="Times New Roman" w:cs="Times New Roman"/>
          <w:sz w:val="30"/>
          <w:szCs w:val="30"/>
        </w:rPr>
        <w:t>во увеличилось на 47 единиц (</w:t>
      </w:r>
      <w:r w:rsidR="00F66AA9" w:rsidRPr="007E19FF">
        <w:rPr>
          <w:rFonts w:ascii="Times New Roman" w:hAnsi="Times New Roman" w:cs="Times New Roman"/>
          <w:sz w:val="30"/>
          <w:szCs w:val="30"/>
        </w:rPr>
        <w:t>7,5</w:t>
      </w:r>
      <w:r w:rsidRPr="007E19FF">
        <w:rPr>
          <w:rFonts w:ascii="Times New Roman" w:hAnsi="Times New Roman" w:cs="Times New Roman"/>
          <w:sz w:val="30"/>
          <w:szCs w:val="30"/>
        </w:rPr>
        <w:t>%)</w:t>
      </w:r>
      <w:r w:rsidR="000E2DF2" w:rsidRPr="007E19FF">
        <w:rPr>
          <w:rFonts w:ascii="Times New Roman" w:hAnsi="Times New Roman" w:cs="Times New Roman"/>
          <w:sz w:val="30"/>
          <w:szCs w:val="30"/>
        </w:rPr>
        <w:t xml:space="preserve"> (р</w:t>
      </w:r>
      <w:r w:rsidR="005725B6" w:rsidRPr="007E19FF">
        <w:rPr>
          <w:rFonts w:ascii="Times New Roman" w:hAnsi="Times New Roman" w:cs="Times New Roman"/>
          <w:sz w:val="30"/>
          <w:szCs w:val="30"/>
        </w:rPr>
        <w:t>ис. 1)</w:t>
      </w:r>
      <w:r w:rsidRPr="007E19F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04C51" w:rsidRPr="007E19FF" w:rsidRDefault="00F04C51" w:rsidP="00F04C51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7E19F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E383471" wp14:editId="4D40C517">
            <wp:extent cx="3943350" cy="200977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04C51" w:rsidRPr="007E19FF" w:rsidRDefault="005725B6" w:rsidP="00F04C51">
      <w:pPr>
        <w:spacing w:after="0" w:line="276" w:lineRule="auto"/>
        <w:ind w:firstLine="709"/>
        <w:jc w:val="center"/>
        <w:rPr>
          <w:rFonts w:ascii="Times New Roman" w:hAnsi="Times New Roman" w:cs="Times New Roman"/>
        </w:rPr>
      </w:pPr>
      <w:r w:rsidRPr="007E19FF">
        <w:rPr>
          <w:rFonts w:ascii="Times New Roman" w:hAnsi="Times New Roman" w:cs="Times New Roman"/>
        </w:rPr>
        <w:t xml:space="preserve">Рис. 1 </w:t>
      </w:r>
      <w:r w:rsidR="009809CF" w:rsidRPr="007E19FF">
        <w:rPr>
          <w:rFonts w:ascii="Times New Roman" w:hAnsi="Times New Roman" w:cs="Times New Roman"/>
        </w:rPr>
        <w:t>Количественный р</w:t>
      </w:r>
      <w:r w:rsidR="00F04C51" w:rsidRPr="007E19FF">
        <w:rPr>
          <w:rFonts w:ascii="Times New Roman" w:hAnsi="Times New Roman" w:cs="Times New Roman"/>
        </w:rPr>
        <w:t>ост ПЦПИ, 2015-2020 гг.</w:t>
      </w:r>
    </w:p>
    <w:p w:rsidR="00CD0B13" w:rsidRPr="007E19FF" w:rsidRDefault="009809CF" w:rsidP="009809C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19FF">
        <w:rPr>
          <w:rFonts w:ascii="Times New Roman" w:hAnsi="Times New Roman" w:cs="Times New Roman"/>
          <w:sz w:val="30"/>
          <w:szCs w:val="30"/>
        </w:rPr>
        <w:t xml:space="preserve">Фактически в каждой четвертой библиотеке </w:t>
      </w:r>
      <w:r w:rsidR="000E2DF2" w:rsidRPr="007E19FF">
        <w:rPr>
          <w:rFonts w:ascii="Times New Roman" w:hAnsi="Times New Roman" w:cs="Times New Roman"/>
          <w:sz w:val="30"/>
          <w:szCs w:val="30"/>
        </w:rPr>
        <w:t>системы МК РБ функционирует правовой центр:</w:t>
      </w:r>
      <w:r w:rsidRPr="007E19FF">
        <w:rPr>
          <w:rFonts w:ascii="Times New Roman" w:hAnsi="Times New Roman" w:cs="Times New Roman"/>
          <w:sz w:val="30"/>
          <w:szCs w:val="30"/>
        </w:rPr>
        <w:t xml:space="preserve"> </w:t>
      </w:r>
      <w:r w:rsidR="00CD0B13" w:rsidRPr="007E19FF">
        <w:rPr>
          <w:rFonts w:ascii="Times New Roman" w:hAnsi="Times New Roman" w:cs="Times New Roman"/>
          <w:sz w:val="30"/>
          <w:szCs w:val="30"/>
        </w:rPr>
        <w:t xml:space="preserve">на базе всех областных и центральных библиотек, а также 492 библиотек-филиалов, 4% из которых составляют детские библиотеки. </w:t>
      </w:r>
      <w:r w:rsidR="00530F10" w:rsidRPr="007E19FF">
        <w:rPr>
          <w:rFonts w:ascii="Times New Roman" w:hAnsi="Times New Roman" w:cs="Times New Roman"/>
          <w:sz w:val="30"/>
          <w:szCs w:val="30"/>
        </w:rPr>
        <w:t>Примечательно, что в</w:t>
      </w:r>
      <w:r w:rsidR="00CD0B13" w:rsidRPr="007E19F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D0B13" w:rsidRPr="007E19FF">
        <w:rPr>
          <w:rFonts w:ascii="Times New Roman" w:hAnsi="Times New Roman" w:cs="Times New Roman"/>
          <w:sz w:val="30"/>
          <w:szCs w:val="30"/>
        </w:rPr>
        <w:t>агрогородках</w:t>
      </w:r>
      <w:proofErr w:type="spellEnd"/>
      <w:r w:rsidR="00CD0B13" w:rsidRPr="007E19FF">
        <w:rPr>
          <w:rFonts w:ascii="Times New Roman" w:hAnsi="Times New Roman" w:cs="Times New Roman"/>
          <w:sz w:val="30"/>
          <w:szCs w:val="30"/>
        </w:rPr>
        <w:t xml:space="preserve"> сосредоточено 45% от общего числа </w:t>
      </w:r>
      <w:r w:rsidR="00E82900" w:rsidRPr="007E19FF">
        <w:rPr>
          <w:rFonts w:ascii="Times New Roman" w:hAnsi="Times New Roman" w:cs="Times New Roman"/>
          <w:sz w:val="30"/>
          <w:szCs w:val="30"/>
        </w:rPr>
        <w:t>ПЦПИ</w:t>
      </w:r>
      <w:r w:rsidR="00CD0B13" w:rsidRPr="007E19FF">
        <w:rPr>
          <w:rFonts w:ascii="Times New Roman" w:hAnsi="Times New Roman" w:cs="Times New Roman"/>
          <w:sz w:val="30"/>
          <w:szCs w:val="30"/>
        </w:rPr>
        <w:t>.</w:t>
      </w:r>
    </w:p>
    <w:p w:rsidR="007B6840" w:rsidRPr="007E19FF" w:rsidRDefault="009367AC" w:rsidP="002B6D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19FF">
        <w:rPr>
          <w:rFonts w:ascii="Times New Roman" w:hAnsi="Times New Roman" w:cs="Times New Roman"/>
          <w:sz w:val="30"/>
          <w:szCs w:val="30"/>
        </w:rPr>
        <w:t>В 9</w:t>
      </w:r>
      <w:r w:rsidR="00BB2A60" w:rsidRPr="007E19FF">
        <w:rPr>
          <w:rFonts w:ascii="Times New Roman" w:hAnsi="Times New Roman" w:cs="Times New Roman"/>
          <w:sz w:val="30"/>
          <w:szCs w:val="30"/>
        </w:rPr>
        <w:t xml:space="preserve"> публичных библиотеках </w:t>
      </w:r>
      <w:r w:rsidR="000E2DF2" w:rsidRPr="007E19FF">
        <w:rPr>
          <w:rFonts w:ascii="Times New Roman" w:hAnsi="Times New Roman" w:cs="Times New Roman"/>
          <w:sz w:val="30"/>
          <w:szCs w:val="30"/>
        </w:rPr>
        <w:t>публичные центры правовой информации функционирую</w:t>
      </w:r>
      <w:r w:rsidR="00BB2A60" w:rsidRPr="007E19FF">
        <w:rPr>
          <w:rFonts w:ascii="Times New Roman" w:hAnsi="Times New Roman" w:cs="Times New Roman"/>
          <w:sz w:val="30"/>
          <w:szCs w:val="30"/>
        </w:rPr>
        <w:t>т в качестве самостоятель</w:t>
      </w:r>
      <w:r w:rsidR="002B6D02" w:rsidRPr="007E19FF">
        <w:rPr>
          <w:rFonts w:ascii="Times New Roman" w:hAnsi="Times New Roman" w:cs="Times New Roman"/>
          <w:sz w:val="30"/>
          <w:szCs w:val="30"/>
        </w:rPr>
        <w:t>ного структурного подразделения. Так</w:t>
      </w:r>
      <w:r w:rsidR="000E2DF2" w:rsidRPr="007E19FF">
        <w:rPr>
          <w:rFonts w:ascii="Times New Roman" w:hAnsi="Times New Roman" w:cs="Times New Roman"/>
          <w:sz w:val="30"/>
          <w:szCs w:val="30"/>
        </w:rPr>
        <w:t>им образом</w:t>
      </w:r>
      <w:r w:rsidR="002B6D02" w:rsidRPr="007E19FF">
        <w:rPr>
          <w:rFonts w:ascii="Times New Roman" w:hAnsi="Times New Roman" w:cs="Times New Roman"/>
          <w:sz w:val="30"/>
          <w:szCs w:val="30"/>
        </w:rPr>
        <w:t xml:space="preserve"> организованы цент</w:t>
      </w:r>
      <w:r w:rsidR="002C0582" w:rsidRPr="007E19FF">
        <w:rPr>
          <w:rFonts w:ascii="Times New Roman" w:hAnsi="Times New Roman" w:cs="Times New Roman"/>
          <w:sz w:val="30"/>
          <w:szCs w:val="30"/>
        </w:rPr>
        <w:t>р</w:t>
      </w:r>
      <w:r w:rsidR="002B6D02" w:rsidRPr="007E19FF">
        <w:rPr>
          <w:rFonts w:ascii="Times New Roman" w:hAnsi="Times New Roman" w:cs="Times New Roman"/>
          <w:sz w:val="30"/>
          <w:szCs w:val="30"/>
        </w:rPr>
        <w:t>ы в трех библиотеках  Витебской области (</w:t>
      </w:r>
      <w:r w:rsidR="000C2865" w:rsidRPr="007E19FF">
        <w:rPr>
          <w:rFonts w:ascii="Times New Roman" w:hAnsi="Times New Roman" w:cs="Times New Roman"/>
          <w:sz w:val="30"/>
          <w:szCs w:val="30"/>
        </w:rPr>
        <w:t>ГУ «Витебская областная б</w:t>
      </w:r>
      <w:r w:rsidR="002B6D02" w:rsidRPr="007E19FF">
        <w:rPr>
          <w:rFonts w:ascii="Times New Roman" w:hAnsi="Times New Roman" w:cs="Times New Roman"/>
          <w:sz w:val="30"/>
          <w:szCs w:val="30"/>
        </w:rPr>
        <w:t>иблиотека им.</w:t>
      </w:r>
      <w:r w:rsidR="00075933" w:rsidRPr="007E19FF">
        <w:rPr>
          <w:rFonts w:ascii="Times New Roman" w:hAnsi="Times New Roman" w:cs="Times New Roman"/>
          <w:sz w:val="30"/>
          <w:szCs w:val="30"/>
        </w:rPr>
        <w:t xml:space="preserve"> В.И. </w:t>
      </w:r>
      <w:r w:rsidR="000C2865" w:rsidRPr="007E19FF">
        <w:rPr>
          <w:rFonts w:ascii="Times New Roman" w:hAnsi="Times New Roman" w:cs="Times New Roman"/>
          <w:sz w:val="30"/>
          <w:szCs w:val="30"/>
        </w:rPr>
        <w:t>Ленина</w:t>
      </w:r>
      <w:r w:rsidR="000E2DF2" w:rsidRPr="007E19FF">
        <w:rPr>
          <w:rFonts w:ascii="Times New Roman" w:hAnsi="Times New Roman" w:cs="Times New Roman"/>
          <w:sz w:val="30"/>
          <w:szCs w:val="30"/>
        </w:rPr>
        <w:t>»</w:t>
      </w:r>
      <w:r w:rsidR="000C2865" w:rsidRPr="007E19FF">
        <w:rPr>
          <w:rFonts w:ascii="Times New Roman" w:hAnsi="Times New Roman" w:cs="Times New Roman"/>
          <w:sz w:val="30"/>
          <w:szCs w:val="30"/>
        </w:rPr>
        <w:t xml:space="preserve">, Центральная библиотека им. В. Маяковского ГУК </w:t>
      </w:r>
      <w:r w:rsidR="006E454B" w:rsidRPr="007E19FF">
        <w:rPr>
          <w:rFonts w:ascii="Times New Roman" w:hAnsi="Times New Roman" w:cs="Times New Roman"/>
          <w:sz w:val="30"/>
          <w:szCs w:val="30"/>
        </w:rPr>
        <w:t>«</w:t>
      </w:r>
      <w:r w:rsidR="000C2865" w:rsidRPr="007E19FF">
        <w:rPr>
          <w:rFonts w:ascii="Times New Roman" w:hAnsi="Times New Roman" w:cs="Times New Roman"/>
          <w:sz w:val="30"/>
          <w:szCs w:val="30"/>
        </w:rPr>
        <w:t>Централизованная библ</w:t>
      </w:r>
      <w:r w:rsidR="006E454B" w:rsidRPr="007E19FF">
        <w:rPr>
          <w:rFonts w:ascii="Times New Roman" w:hAnsi="Times New Roman" w:cs="Times New Roman"/>
          <w:sz w:val="30"/>
          <w:szCs w:val="30"/>
        </w:rPr>
        <w:t>иотечная система г. Новополоцка»</w:t>
      </w:r>
      <w:r w:rsidR="000C2865" w:rsidRPr="007E19FF">
        <w:rPr>
          <w:rFonts w:ascii="Times New Roman" w:hAnsi="Times New Roman" w:cs="Times New Roman"/>
          <w:sz w:val="30"/>
          <w:szCs w:val="30"/>
        </w:rPr>
        <w:t xml:space="preserve">, </w:t>
      </w:r>
      <w:r w:rsidR="00075933" w:rsidRPr="007E19FF">
        <w:rPr>
          <w:rFonts w:ascii="Times New Roman" w:hAnsi="Times New Roman" w:cs="Times New Roman"/>
          <w:sz w:val="30"/>
          <w:szCs w:val="30"/>
        </w:rPr>
        <w:t>Центральная районная библиотека им. Ф. Ско</w:t>
      </w:r>
      <w:r w:rsidR="006E454B" w:rsidRPr="007E19FF">
        <w:rPr>
          <w:rFonts w:ascii="Times New Roman" w:hAnsi="Times New Roman" w:cs="Times New Roman"/>
          <w:sz w:val="30"/>
          <w:szCs w:val="30"/>
        </w:rPr>
        <w:t>рины ГУК «</w:t>
      </w:r>
      <w:r w:rsidR="00075933" w:rsidRPr="007E19FF">
        <w:rPr>
          <w:rFonts w:ascii="Times New Roman" w:hAnsi="Times New Roman" w:cs="Times New Roman"/>
          <w:sz w:val="30"/>
          <w:szCs w:val="30"/>
        </w:rPr>
        <w:t>Полоцкая районная центра</w:t>
      </w:r>
      <w:r w:rsidR="006E454B" w:rsidRPr="007E19FF">
        <w:rPr>
          <w:rFonts w:ascii="Times New Roman" w:hAnsi="Times New Roman" w:cs="Times New Roman"/>
          <w:sz w:val="30"/>
          <w:szCs w:val="30"/>
        </w:rPr>
        <w:t>лизованная библиотечная система»</w:t>
      </w:r>
      <w:r w:rsidR="002B6D02" w:rsidRPr="007E19FF">
        <w:rPr>
          <w:rFonts w:ascii="Times New Roman" w:hAnsi="Times New Roman" w:cs="Times New Roman"/>
          <w:sz w:val="30"/>
          <w:szCs w:val="30"/>
        </w:rPr>
        <w:t>), в трех библиотеках Гомельской области</w:t>
      </w:r>
      <w:r w:rsidR="002A7ADD" w:rsidRPr="007E19FF">
        <w:rPr>
          <w:rFonts w:ascii="Times New Roman" w:hAnsi="Times New Roman" w:cs="Times New Roman"/>
          <w:sz w:val="30"/>
          <w:szCs w:val="30"/>
        </w:rPr>
        <w:t xml:space="preserve"> </w:t>
      </w:r>
      <w:r w:rsidR="002B6D02" w:rsidRPr="007E19FF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C7745E" w:rsidRPr="007E19FF">
        <w:rPr>
          <w:rFonts w:ascii="Times New Roman" w:hAnsi="Times New Roman" w:cs="Times New Roman"/>
          <w:sz w:val="30"/>
          <w:szCs w:val="30"/>
        </w:rPr>
        <w:t>Азделинская</w:t>
      </w:r>
      <w:proofErr w:type="spellEnd"/>
      <w:r w:rsidR="00EA420F" w:rsidRPr="007E19FF">
        <w:rPr>
          <w:rFonts w:ascii="Times New Roman" w:hAnsi="Times New Roman" w:cs="Times New Roman"/>
          <w:sz w:val="30"/>
          <w:szCs w:val="30"/>
        </w:rPr>
        <w:t>,</w:t>
      </w:r>
      <w:r w:rsidR="00C7745E" w:rsidRPr="007E19F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85E4A" w:rsidRPr="007E19FF">
        <w:rPr>
          <w:rFonts w:ascii="Times New Roman" w:hAnsi="Times New Roman" w:cs="Times New Roman"/>
          <w:sz w:val="30"/>
          <w:szCs w:val="30"/>
        </w:rPr>
        <w:t>Бобовичская</w:t>
      </w:r>
      <w:proofErr w:type="spellEnd"/>
      <w:r w:rsidR="00EA420F" w:rsidRPr="007E19FF">
        <w:rPr>
          <w:rFonts w:ascii="Times New Roman" w:hAnsi="Times New Roman" w:cs="Times New Roman"/>
          <w:sz w:val="30"/>
          <w:szCs w:val="30"/>
        </w:rPr>
        <w:t xml:space="preserve"> </w:t>
      </w:r>
      <w:r w:rsidRPr="007E19FF">
        <w:rPr>
          <w:rFonts w:ascii="Times New Roman" w:hAnsi="Times New Roman" w:cs="Times New Roman"/>
          <w:sz w:val="30"/>
          <w:szCs w:val="30"/>
        </w:rPr>
        <w:t xml:space="preserve">и </w:t>
      </w:r>
      <w:proofErr w:type="spellStart"/>
      <w:r w:rsidRPr="007E19FF">
        <w:rPr>
          <w:rFonts w:ascii="Times New Roman" w:hAnsi="Times New Roman" w:cs="Times New Roman"/>
          <w:sz w:val="30"/>
          <w:szCs w:val="30"/>
        </w:rPr>
        <w:t>Тереничская</w:t>
      </w:r>
      <w:proofErr w:type="spellEnd"/>
      <w:r w:rsidR="00EA420F" w:rsidRPr="007E19FF">
        <w:rPr>
          <w:rFonts w:ascii="Times New Roman" w:hAnsi="Times New Roman" w:cs="Times New Roman"/>
          <w:sz w:val="30"/>
          <w:szCs w:val="30"/>
        </w:rPr>
        <w:t xml:space="preserve"> </w:t>
      </w:r>
      <w:r w:rsidR="00285E4A" w:rsidRPr="007E19FF">
        <w:rPr>
          <w:rFonts w:ascii="Times New Roman" w:hAnsi="Times New Roman" w:cs="Times New Roman"/>
          <w:sz w:val="30"/>
          <w:szCs w:val="30"/>
        </w:rPr>
        <w:t>сельские библиотеки</w:t>
      </w:r>
      <w:r w:rsidR="006E454B" w:rsidRPr="007E19FF">
        <w:rPr>
          <w:rFonts w:ascii="Times New Roman" w:hAnsi="Times New Roman" w:cs="Times New Roman"/>
          <w:sz w:val="30"/>
          <w:szCs w:val="30"/>
        </w:rPr>
        <w:t xml:space="preserve"> ГУК «</w:t>
      </w:r>
      <w:r w:rsidR="00C7745E" w:rsidRPr="007E19FF">
        <w:rPr>
          <w:rFonts w:ascii="Times New Roman" w:hAnsi="Times New Roman" w:cs="Times New Roman"/>
          <w:sz w:val="30"/>
          <w:szCs w:val="30"/>
        </w:rPr>
        <w:t>Централизованная библи</w:t>
      </w:r>
      <w:r w:rsidR="006E454B" w:rsidRPr="007E19FF">
        <w:rPr>
          <w:rFonts w:ascii="Times New Roman" w:hAnsi="Times New Roman" w:cs="Times New Roman"/>
          <w:sz w:val="30"/>
          <w:szCs w:val="30"/>
        </w:rPr>
        <w:t>отечная сеть Гомельского района»</w:t>
      </w:r>
      <w:r w:rsidR="002B6D02" w:rsidRPr="007E19FF">
        <w:rPr>
          <w:rFonts w:ascii="Times New Roman" w:hAnsi="Times New Roman" w:cs="Times New Roman"/>
          <w:sz w:val="30"/>
          <w:szCs w:val="30"/>
        </w:rPr>
        <w:t>), в двух библиотеках Минской области (</w:t>
      </w:r>
      <w:r w:rsidR="006E454B" w:rsidRPr="007E19FF">
        <w:rPr>
          <w:rFonts w:ascii="Times New Roman" w:hAnsi="Times New Roman" w:cs="Times New Roman"/>
          <w:sz w:val="30"/>
          <w:szCs w:val="30"/>
        </w:rPr>
        <w:t xml:space="preserve">ГУ «Минская областная библиотека им. А.С. Пушкина» и </w:t>
      </w:r>
      <w:r w:rsidR="000C2865" w:rsidRPr="007E19FF">
        <w:rPr>
          <w:rFonts w:ascii="Times New Roman" w:hAnsi="Times New Roman" w:cs="Times New Roman"/>
          <w:sz w:val="30"/>
          <w:szCs w:val="30"/>
        </w:rPr>
        <w:t>ГУК «</w:t>
      </w:r>
      <w:proofErr w:type="spellStart"/>
      <w:r w:rsidR="000C2865" w:rsidRPr="007E19FF">
        <w:rPr>
          <w:rFonts w:ascii="Times New Roman" w:hAnsi="Times New Roman" w:cs="Times New Roman"/>
          <w:sz w:val="30"/>
          <w:szCs w:val="30"/>
        </w:rPr>
        <w:t>Солигорская</w:t>
      </w:r>
      <w:proofErr w:type="spellEnd"/>
      <w:r w:rsidR="000C2865" w:rsidRPr="007E19FF">
        <w:rPr>
          <w:rFonts w:ascii="Times New Roman" w:hAnsi="Times New Roman" w:cs="Times New Roman"/>
          <w:sz w:val="30"/>
          <w:szCs w:val="30"/>
        </w:rPr>
        <w:t xml:space="preserve"> ра</w:t>
      </w:r>
      <w:r w:rsidR="007B6840" w:rsidRPr="007E19FF">
        <w:rPr>
          <w:rFonts w:ascii="Times New Roman" w:hAnsi="Times New Roman" w:cs="Times New Roman"/>
          <w:sz w:val="30"/>
          <w:szCs w:val="30"/>
        </w:rPr>
        <w:t>йонная центральная библиотека»</w:t>
      </w:r>
      <w:r w:rsidR="002B6D02" w:rsidRPr="007E19FF">
        <w:rPr>
          <w:rFonts w:ascii="Times New Roman" w:hAnsi="Times New Roman" w:cs="Times New Roman"/>
          <w:sz w:val="30"/>
          <w:szCs w:val="30"/>
        </w:rPr>
        <w:t xml:space="preserve">) и </w:t>
      </w:r>
      <w:r w:rsidR="000E2DF2" w:rsidRPr="007E19FF">
        <w:rPr>
          <w:rFonts w:ascii="Times New Roman" w:hAnsi="Times New Roman" w:cs="Times New Roman"/>
          <w:sz w:val="30"/>
          <w:szCs w:val="30"/>
        </w:rPr>
        <w:t xml:space="preserve">в </w:t>
      </w:r>
      <w:r w:rsidR="002B6D02" w:rsidRPr="007E19FF">
        <w:rPr>
          <w:rFonts w:ascii="Times New Roman" w:hAnsi="Times New Roman" w:cs="Times New Roman"/>
          <w:sz w:val="30"/>
          <w:szCs w:val="30"/>
        </w:rPr>
        <w:t xml:space="preserve">одной </w:t>
      </w:r>
      <w:r w:rsidR="000E2DF2" w:rsidRPr="007E19FF">
        <w:rPr>
          <w:rFonts w:ascii="Times New Roman" w:hAnsi="Times New Roman" w:cs="Times New Roman"/>
          <w:sz w:val="30"/>
          <w:szCs w:val="30"/>
        </w:rPr>
        <w:t xml:space="preserve">библиотеке </w:t>
      </w:r>
      <w:r w:rsidR="002B6D02" w:rsidRPr="007E19FF">
        <w:rPr>
          <w:rFonts w:ascii="Times New Roman" w:hAnsi="Times New Roman" w:cs="Times New Roman"/>
          <w:sz w:val="30"/>
          <w:szCs w:val="30"/>
        </w:rPr>
        <w:t xml:space="preserve">Могилевской области </w:t>
      </w:r>
      <w:r w:rsidR="000E2DF2" w:rsidRPr="007E19FF">
        <w:rPr>
          <w:rFonts w:ascii="Times New Roman" w:hAnsi="Times New Roman" w:cs="Times New Roman"/>
          <w:sz w:val="30"/>
          <w:szCs w:val="30"/>
        </w:rPr>
        <w:t>(</w:t>
      </w:r>
      <w:r w:rsidR="002B6D02" w:rsidRPr="007E19FF">
        <w:rPr>
          <w:rFonts w:ascii="Times New Roman" w:hAnsi="Times New Roman" w:cs="Times New Roman"/>
          <w:sz w:val="30"/>
          <w:szCs w:val="30"/>
        </w:rPr>
        <w:t>Центральная районная библиотека</w:t>
      </w:r>
      <w:r w:rsidR="007B6840" w:rsidRPr="007E19FF">
        <w:rPr>
          <w:rFonts w:ascii="Times New Roman" w:hAnsi="Times New Roman" w:cs="Times New Roman"/>
          <w:sz w:val="30"/>
          <w:szCs w:val="30"/>
        </w:rPr>
        <w:t xml:space="preserve"> ГУК «Централизованная библиотечная сеть Осиповичского района»</w:t>
      </w:r>
      <w:r w:rsidR="000E2DF2" w:rsidRPr="007E19FF">
        <w:rPr>
          <w:rFonts w:ascii="Times New Roman" w:hAnsi="Times New Roman" w:cs="Times New Roman"/>
          <w:sz w:val="30"/>
          <w:szCs w:val="30"/>
        </w:rPr>
        <w:t>)</w:t>
      </w:r>
      <w:r w:rsidR="007B6840" w:rsidRPr="007E19FF">
        <w:rPr>
          <w:rFonts w:ascii="Times New Roman" w:hAnsi="Times New Roman" w:cs="Times New Roman"/>
          <w:sz w:val="30"/>
          <w:szCs w:val="30"/>
        </w:rPr>
        <w:t>.</w:t>
      </w:r>
    </w:p>
    <w:p w:rsidR="005208A9" w:rsidRPr="007E19FF" w:rsidRDefault="005208A9" w:rsidP="005208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19FF">
        <w:rPr>
          <w:rFonts w:ascii="Times New Roman" w:hAnsi="Times New Roman" w:cs="Times New Roman"/>
          <w:sz w:val="30"/>
          <w:szCs w:val="30"/>
        </w:rPr>
        <w:t>В остальных библиотеках для ПЦПИ отдельное структурное подразделение не выделено (рис. 2).</w:t>
      </w:r>
    </w:p>
    <w:p w:rsidR="00342DE2" w:rsidRPr="007E19FF" w:rsidRDefault="00342DE2" w:rsidP="007B68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7AB0" w:rsidRPr="007E19FF" w:rsidRDefault="00647AB0" w:rsidP="007B68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19FF"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4552950" cy="239077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42DE2" w:rsidRPr="007E19FF" w:rsidRDefault="00342DE2" w:rsidP="00342DE2">
      <w:pPr>
        <w:spacing w:after="0" w:line="276" w:lineRule="auto"/>
        <w:ind w:firstLine="709"/>
        <w:jc w:val="center"/>
        <w:rPr>
          <w:rFonts w:ascii="Times New Roman" w:hAnsi="Times New Roman" w:cs="Times New Roman"/>
        </w:rPr>
      </w:pPr>
      <w:r w:rsidRPr="007E19FF">
        <w:rPr>
          <w:rFonts w:ascii="Times New Roman" w:hAnsi="Times New Roman" w:cs="Times New Roman"/>
        </w:rPr>
        <w:t>Рис.2 Способ организации ПЦПИ</w:t>
      </w:r>
      <w:r w:rsidR="000E2DF2" w:rsidRPr="007E19FF">
        <w:rPr>
          <w:rFonts w:ascii="Times New Roman" w:hAnsi="Times New Roman" w:cs="Times New Roman"/>
        </w:rPr>
        <w:t>, 2020 г.</w:t>
      </w:r>
    </w:p>
    <w:p w:rsidR="00342DE2" w:rsidRPr="007E19FF" w:rsidRDefault="00342DE2" w:rsidP="009446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25B6" w:rsidRPr="007E19FF" w:rsidRDefault="0015126A" w:rsidP="00365A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19FF">
        <w:rPr>
          <w:rFonts w:ascii="Times New Roman" w:hAnsi="Times New Roman" w:cs="Times New Roman"/>
          <w:sz w:val="30"/>
          <w:szCs w:val="30"/>
        </w:rPr>
        <w:t>В период с 2018</w:t>
      </w:r>
      <w:r w:rsidR="000E2DF2" w:rsidRPr="007E19FF">
        <w:rPr>
          <w:rFonts w:ascii="Times New Roman" w:hAnsi="Times New Roman" w:cs="Times New Roman"/>
          <w:sz w:val="30"/>
          <w:szCs w:val="30"/>
        </w:rPr>
        <w:t xml:space="preserve"> по 2020 гг. отмечала</w:t>
      </w:r>
      <w:r w:rsidR="009367AC" w:rsidRPr="007E19FF">
        <w:rPr>
          <w:rFonts w:ascii="Times New Roman" w:hAnsi="Times New Roman" w:cs="Times New Roman"/>
          <w:sz w:val="30"/>
          <w:szCs w:val="30"/>
        </w:rPr>
        <w:t xml:space="preserve">сь </w:t>
      </w:r>
      <w:r w:rsidR="000E2DF2" w:rsidRPr="007E19FF">
        <w:rPr>
          <w:rFonts w:ascii="Times New Roman" w:hAnsi="Times New Roman" w:cs="Times New Roman"/>
          <w:sz w:val="30"/>
          <w:szCs w:val="30"/>
        </w:rPr>
        <w:t>тенденция к снижению</w:t>
      </w:r>
      <w:r w:rsidR="009367AC" w:rsidRPr="007E19FF">
        <w:rPr>
          <w:rFonts w:ascii="Times New Roman" w:hAnsi="Times New Roman" w:cs="Times New Roman"/>
          <w:sz w:val="30"/>
          <w:szCs w:val="30"/>
        </w:rPr>
        <w:t xml:space="preserve"> </w:t>
      </w:r>
      <w:r w:rsidR="0007143E" w:rsidRPr="007E19FF">
        <w:rPr>
          <w:rFonts w:ascii="Times New Roman" w:hAnsi="Times New Roman" w:cs="Times New Roman"/>
          <w:sz w:val="30"/>
          <w:szCs w:val="30"/>
        </w:rPr>
        <w:t>отдельн</w:t>
      </w:r>
      <w:r w:rsidR="009367AC" w:rsidRPr="007E19FF">
        <w:rPr>
          <w:rFonts w:ascii="Times New Roman" w:hAnsi="Times New Roman" w:cs="Times New Roman"/>
          <w:sz w:val="30"/>
          <w:szCs w:val="30"/>
        </w:rPr>
        <w:t>ых показа</w:t>
      </w:r>
      <w:r w:rsidR="00342DE2" w:rsidRPr="007E19FF">
        <w:rPr>
          <w:rFonts w:ascii="Times New Roman" w:hAnsi="Times New Roman" w:cs="Times New Roman"/>
          <w:sz w:val="30"/>
          <w:szCs w:val="30"/>
        </w:rPr>
        <w:t xml:space="preserve">телей деятельности </w:t>
      </w:r>
      <w:r w:rsidR="0007143E" w:rsidRPr="007E19FF">
        <w:rPr>
          <w:rFonts w:ascii="Times New Roman" w:hAnsi="Times New Roman" w:cs="Times New Roman"/>
          <w:sz w:val="30"/>
          <w:szCs w:val="30"/>
        </w:rPr>
        <w:t>центров</w:t>
      </w:r>
      <w:r w:rsidR="009367AC" w:rsidRPr="007E19F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474AE" w:rsidRPr="007E19FF" w:rsidRDefault="00EA0F15" w:rsidP="005208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19FF">
        <w:rPr>
          <w:rFonts w:ascii="Times New Roman" w:hAnsi="Times New Roman" w:cs="Times New Roman"/>
          <w:sz w:val="30"/>
          <w:szCs w:val="30"/>
        </w:rPr>
        <w:t>Несмотря на то, что за эти три года</w:t>
      </w:r>
      <w:r w:rsidR="00F452A5" w:rsidRPr="007E19FF">
        <w:rPr>
          <w:rFonts w:ascii="Times New Roman" w:hAnsi="Times New Roman" w:cs="Times New Roman"/>
          <w:sz w:val="30"/>
          <w:szCs w:val="30"/>
        </w:rPr>
        <w:t xml:space="preserve"> было создано 24 новых ПЦПИ, количество </w:t>
      </w:r>
      <w:r w:rsidR="005208A9" w:rsidRPr="007E19FF">
        <w:rPr>
          <w:rFonts w:ascii="Times New Roman" w:hAnsi="Times New Roman" w:cs="Times New Roman"/>
          <w:sz w:val="30"/>
          <w:szCs w:val="30"/>
        </w:rPr>
        <w:t xml:space="preserve">их </w:t>
      </w:r>
      <w:r w:rsidR="00F452A5" w:rsidRPr="007E19FF">
        <w:rPr>
          <w:rFonts w:ascii="Times New Roman" w:hAnsi="Times New Roman" w:cs="Times New Roman"/>
          <w:sz w:val="30"/>
          <w:szCs w:val="30"/>
        </w:rPr>
        <w:t>посещений</w:t>
      </w:r>
      <w:r w:rsidR="009A5995" w:rsidRPr="007E19FF">
        <w:rPr>
          <w:rFonts w:ascii="Times New Roman" w:hAnsi="Times New Roman" w:cs="Times New Roman"/>
          <w:sz w:val="30"/>
          <w:szCs w:val="30"/>
        </w:rPr>
        <w:t xml:space="preserve"> </w:t>
      </w:r>
      <w:r w:rsidR="0007143E" w:rsidRPr="007E19FF">
        <w:rPr>
          <w:rFonts w:ascii="Times New Roman" w:hAnsi="Times New Roman" w:cs="Times New Roman"/>
          <w:sz w:val="30"/>
          <w:szCs w:val="30"/>
        </w:rPr>
        <w:t xml:space="preserve">сократилось на </w:t>
      </w:r>
      <w:r w:rsidR="002C0582" w:rsidRPr="007E19FF">
        <w:rPr>
          <w:rFonts w:ascii="Times New Roman" w:hAnsi="Times New Roman" w:cs="Times New Roman"/>
          <w:sz w:val="30"/>
          <w:szCs w:val="30"/>
        </w:rPr>
        <w:t>22,5</w:t>
      </w:r>
      <w:r w:rsidR="00F452A5" w:rsidRPr="007E19FF">
        <w:rPr>
          <w:rFonts w:ascii="Times New Roman" w:hAnsi="Times New Roman" w:cs="Times New Roman"/>
          <w:sz w:val="30"/>
          <w:szCs w:val="30"/>
        </w:rPr>
        <w:t>%</w:t>
      </w:r>
      <w:r w:rsidR="005D013D" w:rsidRPr="007E19FF">
        <w:rPr>
          <w:rFonts w:ascii="Times New Roman" w:hAnsi="Times New Roman" w:cs="Times New Roman"/>
          <w:sz w:val="30"/>
          <w:szCs w:val="30"/>
        </w:rPr>
        <w:t>, численность</w:t>
      </w:r>
      <w:r w:rsidR="0015126A" w:rsidRPr="007E19FF">
        <w:rPr>
          <w:rFonts w:ascii="Times New Roman" w:hAnsi="Times New Roman" w:cs="Times New Roman"/>
          <w:sz w:val="30"/>
          <w:szCs w:val="30"/>
        </w:rPr>
        <w:t xml:space="preserve"> пол</w:t>
      </w:r>
      <w:r w:rsidR="0040777B" w:rsidRPr="007E19FF">
        <w:rPr>
          <w:rFonts w:ascii="Times New Roman" w:hAnsi="Times New Roman" w:cs="Times New Roman"/>
          <w:sz w:val="30"/>
          <w:szCs w:val="30"/>
        </w:rPr>
        <w:t xml:space="preserve">ьзователей </w:t>
      </w:r>
      <w:r w:rsidR="009A5995" w:rsidRPr="007E19FF">
        <w:rPr>
          <w:rFonts w:ascii="Times New Roman" w:hAnsi="Times New Roman" w:cs="Times New Roman"/>
          <w:sz w:val="30"/>
          <w:szCs w:val="30"/>
        </w:rPr>
        <w:t>–</w:t>
      </w:r>
      <w:r w:rsidR="002C0582" w:rsidRPr="007E19FF">
        <w:rPr>
          <w:rFonts w:ascii="Times New Roman" w:hAnsi="Times New Roman" w:cs="Times New Roman"/>
          <w:sz w:val="30"/>
          <w:szCs w:val="30"/>
        </w:rPr>
        <w:t xml:space="preserve"> на 20</w:t>
      </w:r>
      <w:r w:rsidR="0040777B" w:rsidRPr="007E19FF">
        <w:rPr>
          <w:rFonts w:ascii="Times New Roman" w:hAnsi="Times New Roman" w:cs="Times New Roman"/>
          <w:sz w:val="30"/>
          <w:szCs w:val="30"/>
        </w:rPr>
        <w:t>%</w:t>
      </w:r>
      <w:r w:rsidR="005208A9" w:rsidRPr="007E19FF">
        <w:rPr>
          <w:rFonts w:ascii="Times New Roman" w:hAnsi="Times New Roman" w:cs="Times New Roman"/>
          <w:sz w:val="30"/>
          <w:szCs w:val="30"/>
        </w:rPr>
        <w:t>, ч</w:t>
      </w:r>
      <w:r w:rsidR="00514800" w:rsidRPr="007E19FF">
        <w:rPr>
          <w:rFonts w:ascii="Times New Roman" w:hAnsi="Times New Roman" w:cs="Times New Roman"/>
          <w:sz w:val="30"/>
          <w:szCs w:val="30"/>
        </w:rPr>
        <w:t>астота</w:t>
      </w:r>
      <w:r w:rsidR="00B9716B" w:rsidRPr="007E19FF">
        <w:rPr>
          <w:rFonts w:ascii="Times New Roman" w:hAnsi="Times New Roman" w:cs="Times New Roman"/>
          <w:sz w:val="30"/>
          <w:szCs w:val="30"/>
        </w:rPr>
        <w:t xml:space="preserve"> обращений к правовым базам данных</w:t>
      </w:r>
      <w:r w:rsidR="005208A9" w:rsidRPr="007E19FF">
        <w:rPr>
          <w:rFonts w:ascii="Times New Roman" w:hAnsi="Times New Roman" w:cs="Times New Roman"/>
          <w:sz w:val="30"/>
          <w:szCs w:val="30"/>
        </w:rPr>
        <w:t xml:space="preserve"> – </w:t>
      </w:r>
      <w:r w:rsidR="002C0582" w:rsidRPr="007E19FF">
        <w:rPr>
          <w:rFonts w:ascii="Times New Roman" w:hAnsi="Times New Roman" w:cs="Times New Roman"/>
          <w:sz w:val="30"/>
          <w:szCs w:val="30"/>
        </w:rPr>
        <w:t>на 19</w:t>
      </w:r>
      <w:r w:rsidR="00B9716B" w:rsidRPr="007E19FF">
        <w:rPr>
          <w:rFonts w:ascii="Times New Roman" w:hAnsi="Times New Roman" w:cs="Times New Roman"/>
          <w:sz w:val="30"/>
          <w:szCs w:val="30"/>
        </w:rPr>
        <w:t>%.</w:t>
      </w:r>
      <w:r w:rsidR="007E09DE" w:rsidRPr="007E19FF">
        <w:rPr>
          <w:rFonts w:ascii="Times New Roman" w:hAnsi="Times New Roman" w:cs="Times New Roman"/>
          <w:sz w:val="30"/>
          <w:szCs w:val="30"/>
        </w:rPr>
        <w:t xml:space="preserve"> </w:t>
      </w:r>
      <w:r w:rsidR="008E607E" w:rsidRPr="007E19FF">
        <w:rPr>
          <w:rFonts w:ascii="Times New Roman" w:hAnsi="Times New Roman" w:cs="Times New Roman"/>
          <w:sz w:val="30"/>
          <w:szCs w:val="30"/>
        </w:rPr>
        <w:t xml:space="preserve">Совокупное количество выполненных справок </w:t>
      </w:r>
      <w:r w:rsidR="002C0582" w:rsidRPr="007E19FF">
        <w:rPr>
          <w:rFonts w:ascii="Times New Roman" w:hAnsi="Times New Roman" w:cs="Times New Roman"/>
          <w:sz w:val="30"/>
          <w:szCs w:val="30"/>
        </w:rPr>
        <w:t>также уменьшилось – на 18,7</w:t>
      </w:r>
      <w:r w:rsidR="000132A3" w:rsidRPr="007E19FF">
        <w:rPr>
          <w:rFonts w:ascii="Times New Roman" w:hAnsi="Times New Roman" w:cs="Times New Roman"/>
          <w:sz w:val="30"/>
          <w:szCs w:val="30"/>
        </w:rPr>
        <w:t>%</w:t>
      </w:r>
      <w:r w:rsidR="00365A00" w:rsidRPr="007E19FF">
        <w:rPr>
          <w:rFonts w:ascii="Times New Roman" w:hAnsi="Times New Roman" w:cs="Times New Roman"/>
          <w:sz w:val="30"/>
          <w:szCs w:val="30"/>
        </w:rPr>
        <w:t xml:space="preserve"> (рис.3).</w:t>
      </w:r>
    </w:p>
    <w:p w:rsidR="00365A00" w:rsidRPr="007E19FF" w:rsidRDefault="00365A00" w:rsidP="005208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65A00" w:rsidRPr="007E19FF" w:rsidRDefault="00365A00" w:rsidP="002C0582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E19FF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D57F68F" wp14:editId="029A9562">
            <wp:extent cx="5647482" cy="2727015"/>
            <wp:effectExtent l="0" t="0" r="10795" b="165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65A00" w:rsidRPr="007E19FF" w:rsidRDefault="00365A00" w:rsidP="00365A00">
      <w:pPr>
        <w:spacing w:after="0" w:line="276" w:lineRule="auto"/>
        <w:ind w:firstLine="709"/>
        <w:jc w:val="center"/>
        <w:rPr>
          <w:rFonts w:ascii="Times New Roman" w:hAnsi="Times New Roman" w:cs="Times New Roman"/>
        </w:rPr>
      </w:pPr>
      <w:r w:rsidRPr="007E19FF">
        <w:rPr>
          <w:rFonts w:ascii="Times New Roman" w:hAnsi="Times New Roman" w:cs="Times New Roman"/>
        </w:rPr>
        <w:t>Рис.3 Динамика основных показателей деятельности ПЦПИ, 2016-2020 гг.</w:t>
      </w:r>
    </w:p>
    <w:p w:rsidR="00365A00" w:rsidRPr="007E19FF" w:rsidRDefault="00365A00" w:rsidP="000714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520C7" w:rsidRPr="007E19FF" w:rsidRDefault="005F4778" w:rsidP="000714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E19FF">
        <w:rPr>
          <w:rFonts w:ascii="Times New Roman" w:hAnsi="Times New Roman" w:cs="Times New Roman"/>
          <w:sz w:val="30"/>
          <w:szCs w:val="30"/>
        </w:rPr>
        <w:t>Информационно-ресурсное обеспечение центров позволяет в полной мере удовлетворять инфор</w:t>
      </w:r>
      <w:r w:rsidR="00EA0F15" w:rsidRPr="007E19FF">
        <w:rPr>
          <w:rFonts w:ascii="Times New Roman" w:hAnsi="Times New Roman" w:cs="Times New Roman"/>
          <w:sz w:val="30"/>
          <w:szCs w:val="30"/>
        </w:rPr>
        <w:t>мационные запросы пользователей.</w:t>
      </w:r>
      <w:r w:rsidRPr="007E19FF">
        <w:rPr>
          <w:rFonts w:ascii="Times New Roman" w:hAnsi="Times New Roman" w:cs="Times New Roman"/>
          <w:sz w:val="30"/>
          <w:szCs w:val="30"/>
        </w:rPr>
        <w:t xml:space="preserve"> </w:t>
      </w:r>
      <w:r w:rsidR="00EA0F15" w:rsidRPr="007E19FF">
        <w:rPr>
          <w:rFonts w:ascii="Times New Roman" w:hAnsi="Times New Roman" w:cs="Times New Roman"/>
          <w:sz w:val="30"/>
          <w:szCs w:val="30"/>
        </w:rPr>
        <w:t>Оно</w:t>
      </w:r>
      <w:r w:rsidRPr="007E19FF">
        <w:rPr>
          <w:rFonts w:ascii="Times New Roman" w:hAnsi="Times New Roman" w:cs="Times New Roman"/>
          <w:sz w:val="30"/>
          <w:szCs w:val="30"/>
        </w:rPr>
        <w:t xml:space="preserve"> представлено как печатными изданиями на традиционных носителях, так и электронными ресурсами, </w:t>
      </w:r>
      <w:r w:rsidR="002C0582" w:rsidRPr="007E19FF">
        <w:rPr>
          <w:rFonts w:ascii="Times New Roman" w:hAnsi="Times New Roman" w:cs="Times New Roman"/>
          <w:sz w:val="30"/>
          <w:szCs w:val="30"/>
        </w:rPr>
        <w:t xml:space="preserve">в том числе </w:t>
      </w:r>
      <w:r w:rsidRPr="007E19FF">
        <w:rPr>
          <w:rFonts w:ascii="Times New Roman" w:hAnsi="Times New Roman" w:cs="Times New Roman"/>
          <w:sz w:val="30"/>
          <w:szCs w:val="30"/>
        </w:rPr>
        <w:t xml:space="preserve">ресурсами </w:t>
      </w:r>
      <w:r w:rsidRPr="007E19FF">
        <w:rPr>
          <w:rFonts w:ascii="Times New Roman" w:hAnsi="Times New Roman" w:cs="Times New Roman"/>
          <w:sz w:val="30"/>
          <w:szCs w:val="30"/>
        </w:rPr>
        <w:lastRenderedPageBreak/>
        <w:t xml:space="preserve">удаленного доступа. </w:t>
      </w:r>
      <w:r w:rsidR="00365A00" w:rsidRPr="007E19FF">
        <w:rPr>
          <w:rFonts w:ascii="Times New Roman" w:hAnsi="Times New Roman" w:cs="Times New Roman"/>
          <w:sz w:val="30"/>
          <w:szCs w:val="30"/>
        </w:rPr>
        <w:t>В рассматриваемый период и</w:t>
      </w:r>
      <w:r w:rsidR="001520C7" w:rsidRPr="007E19FF">
        <w:rPr>
          <w:rFonts w:ascii="Times New Roman" w:hAnsi="Times New Roman" w:cs="Times New Roman"/>
          <w:sz w:val="30"/>
          <w:szCs w:val="30"/>
        </w:rPr>
        <w:t>сточником выполнения справок чаще всего становил</w:t>
      </w:r>
      <w:r w:rsidR="001D3708" w:rsidRPr="007E19FF">
        <w:rPr>
          <w:rFonts w:ascii="Times New Roman" w:hAnsi="Times New Roman" w:cs="Times New Roman"/>
          <w:sz w:val="30"/>
          <w:szCs w:val="30"/>
        </w:rPr>
        <w:t>ась</w:t>
      </w:r>
      <w:r w:rsidR="001520C7" w:rsidRPr="007E19FF">
        <w:rPr>
          <w:rFonts w:ascii="Times New Roman" w:hAnsi="Times New Roman" w:cs="Times New Roman"/>
          <w:sz w:val="30"/>
          <w:szCs w:val="30"/>
        </w:rPr>
        <w:t xml:space="preserve"> </w:t>
      </w:r>
      <w:r w:rsidR="001D3708" w:rsidRPr="007E19FF">
        <w:rPr>
          <w:rFonts w:ascii="Times New Roman" w:hAnsi="Times New Roman" w:cs="Times New Roman"/>
          <w:sz w:val="30"/>
          <w:szCs w:val="30"/>
        </w:rPr>
        <w:t xml:space="preserve">информационно-поисковая </w:t>
      </w:r>
      <w:r w:rsidR="00485955" w:rsidRPr="007E19FF">
        <w:rPr>
          <w:rFonts w:ascii="Times New Roman" w:hAnsi="Times New Roman" w:cs="Times New Roman"/>
          <w:sz w:val="30"/>
          <w:szCs w:val="30"/>
        </w:rPr>
        <w:t xml:space="preserve">система </w:t>
      </w:r>
      <w:r w:rsidR="001D3708" w:rsidRPr="007E19FF">
        <w:rPr>
          <w:rFonts w:ascii="Times New Roman" w:hAnsi="Times New Roman" w:cs="Times New Roman"/>
          <w:sz w:val="30"/>
          <w:szCs w:val="30"/>
        </w:rPr>
        <w:t>«ЭТАЛОН»</w:t>
      </w:r>
      <w:r w:rsidR="00D73A9C" w:rsidRPr="007E19FF">
        <w:rPr>
          <w:rFonts w:ascii="Times New Roman" w:hAnsi="Times New Roman" w:cs="Times New Roman"/>
          <w:sz w:val="30"/>
          <w:szCs w:val="30"/>
        </w:rPr>
        <w:t xml:space="preserve"> (ИПС «ЭТАЛОН»)</w:t>
      </w:r>
      <w:r w:rsidR="001520C7" w:rsidRPr="007E19FF">
        <w:rPr>
          <w:rFonts w:ascii="Times New Roman" w:hAnsi="Times New Roman" w:cs="Times New Roman"/>
          <w:sz w:val="30"/>
          <w:szCs w:val="30"/>
        </w:rPr>
        <w:t xml:space="preserve">, </w:t>
      </w:r>
      <w:r w:rsidR="001D3708" w:rsidRPr="007E19FF">
        <w:rPr>
          <w:rFonts w:ascii="Times New Roman" w:hAnsi="Times New Roman" w:cs="Times New Roman"/>
          <w:sz w:val="30"/>
          <w:szCs w:val="30"/>
        </w:rPr>
        <w:t xml:space="preserve">обеспечивающая доступ </w:t>
      </w:r>
      <w:r w:rsidR="00914DF9" w:rsidRPr="007E19FF">
        <w:rPr>
          <w:rFonts w:ascii="Times New Roman" w:hAnsi="Times New Roman" w:cs="Times New Roman"/>
          <w:sz w:val="30"/>
          <w:szCs w:val="30"/>
        </w:rPr>
        <w:t>к эталонному банку данных правовой информации Республики Беларусь</w:t>
      </w:r>
      <w:r w:rsidR="001520C7" w:rsidRPr="007E19FF">
        <w:rPr>
          <w:rFonts w:ascii="Times New Roman" w:hAnsi="Times New Roman" w:cs="Times New Roman"/>
          <w:sz w:val="30"/>
          <w:szCs w:val="30"/>
        </w:rPr>
        <w:t xml:space="preserve">. В 2020 г. с </w:t>
      </w:r>
      <w:r w:rsidR="00D82633" w:rsidRPr="007E19FF">
        <w:rPr>
          <w:rFonts w:ascii="Times New Roman" w:hAnsi="Times New Roman" w:cs="Times New Roman"/>
          <w:sz w:val="30"/>
          <w:szCs w:val="30"/>
        </w:rPr>
        <w:t>ее</w:t>
      </w:r>
      <w:r w:rsidR="001520C7" w:rsidRPr="007E19FF">
        <w:rPr>
          <w:rFonts w:ascii="Times New Roman" w:hAnsi="Times New Roman" w:cs="Times New Roman"/>
          <w:sz w:val="30"/>
          <w:szCs w:val="30"/>
        </w:rPr>
        <w:t xml:space="preserve"> помощью </w:t>
      </w:r>
      <w:r w:rsidR="006705F4" w:rsidRPr="007E19FF">
        <w:rPr>
          <w:rFonts w:ascii="Times New Roman" w:hAnsi="Times New Roman" w:cs="Times New Roman"/>
          <w:sz w:val="30"/>
          <w:szCs w:val="30"/>
        </w:rPr>
        <w:t>было удовлетворено</w:t>
      </w:r>
      <w:r w:rsidR="00696725" w:rsidRPr="007E19FF">
        <w:rPr>
          <w:rFonts w:ascii="Times New Roman" w:hAnsi="Times New Roman" w:cs="Times New Roman"/>
          <w:sz w:val="30"/>
          <w:szCs w:val="30"/>
        </w:rPr>
        <w:t xml:space="preserve"> 63% </w:t>
      </w:r>
      <w:r w:rsidR="00421657" w:rsidRPr="007E19FF">
        <w:rPr>
          <w:rFonts w:ascii="Times New Roman" w:hAnsi="Times New Roman" w:cs="Times New Roman"/>
          <w:sz w:val="30"/>
          <w:szCs w:val="30"/>
        </w:rPr>
        <w:t xml:space="preserve">от </w:t>
      </w:r>
      <w:r w:rsidR="009C5F9C" w:rsidRPr="007E19FF">
        <w:rPr>
          <w:rFonts w:ascii="Times New Roman" w:hAnsi="Times New Roman" w:cs="Times New Roman"/>
          <w:sz w:val="30"/>
          <w:szCs w:val="30"/>
        </w:rPr>
        <w:t xml:space="preserve">всех </w:t>
      </w:r>
      <w:r w:rsidR="000132A3" w:rsidRPr="007E19FF">
        <w:rPr>
          <w:rFonts w:ascii="Times New Roman" w:hAnsi="Times New Roman" w:cs="Times New Roman"/>
          <w:sz w:val="30"/>
          <w:szCs w:val="30"/>
        </w:rPr>
        <w:t>запросов</w:t>
      </w:r>
      <w:r w:rsidR="00696725" w:rsidRPr="007E19FF">
        <w:rPr>
          <w:rFonts w:ascii="Times New Roman" w:hAnsi="Times New Roman" w:cs="Times New Roman"/>
          <w:sz w:val="30"/>
          <w:szCs w:val="30"/>
        </w:rPr>
        <w:t xml:space="preserve">, </w:t>
      </w:r>
      <w:r w:rsidR="00D82633" w:rsidRPr="007E19FF">
        <w:rPr>
          <w:rFonts w:ascii="Times New Roman" w:hAnsi="Times New Roman" w:cs="Times New Roman"/>
          <w:sz w:val="30"/>
          <w:szCs w:val="30"/>
        </w:rPr>
        <w:t xml:space="preserve">еще </w:t>
      </w:r>
      <w:r w:rsidR="00696725" w:rsidRPr="007E19FF">
        <w:rPr>
          <w:rFonts w:ascii="Times New Roman" w:hAnsi="Times New Roman" w:cs="Times New Roman"/>
          <w:sz w:val="30"/>
          <w:szCs w:val="30"/>
        </w:rPr>
        <w:t>26</w:t>
      </w:r>
      <w:r w:rsidR="00B92F2E" w:rsidRPr="007E19FF">
        <w:rPr>
          <w:rFonts w:ascii="Times New Roman" w:hAnsi="Times New Roman" w:cs="Times New Roman"/>
          <w:sz w:val="30"/>
          <w:szCs w:val="30"/>
        </w:rPr>
        <w:t>% –</w:t>
      </w:r>
      <w:r w:rsidR="001520C7" w:rsidRPr="007E19FF">
        <w:rPr>
          <w:rFonts w:ascii="Times New Roman" w:hAnsi="Times New Roman" w:cs="Times New Roman"/>
          <w:sz w:val="30"/>
          <w:szCs w:val="30"/>
        </w:rPr>
        <w:t xml:space="preserve"> с помощью справочн</w:t>
      </w:r>
      <w:r w:rsidR="001520C7" w:rsidRPr="00BC68C1">
        <w:rPr>
          <w:rFonts w:ascii="Times New Roman" w:hAnsi="Times New Roman" w:cs="Times New Roman"/>
          <w:sz w:val="30"/>
          <w:szCs w:val="30"/>
        </w:rPr>
        <w:t>о</w:t>
      </w:r>
      <w:r w:rsidR="009C5F9C" w:rsidRPr="00BC68C1">
        <w:rPr>
          <w:rFonts w:ascii="Times New Roman" w:hAnsi="Times New Roman" w:cs="Times New Roman"/>
          <w:sz w:val="30"/>
          <w:szCs w:val="30"/>
        </w:rPr>
        <w:t>-</w:t>
      </w:r>
      <w:r w:rsidR="00696725" w:rsidRPr="007E19FF">
        <w:rPr>
          <w:rFonts w:ascii="Times New Roman" w:hAnsi="Times New Roman" w:cs="Times New Roman"/>
          <w:sz w:val="30"/>
          <w:szCs w:val="30"/>
        </w:rPr>
        <w:t>библиографического фонда, 9</w:t>
      </w:r>
      <w:r w:rsidR="00B92F2E" w:rsidRPr="007E19FF">
        <w:rPr>
          <w:rFonts w:ascii="Times New Roman" w:hAnsi="Times New Roman" w:cs="Times New Roman"/>
          <w:sz w:val="30"/>
          <w:szCs w:val="30"/>
        </w:rPr>
        <w:t>% –</w:t>
      </w:r>
      <w:r w:rsidR="009C5F9C" w:rsidRPr="007E19FF">
        <w:rPr>
          <w:rFonts w:ascii="Times New Roman" w:hAnsi="Times New Roman" w:cs="Times New Roman"/>
          <w:sz w:val="30"/>
          <w:szCs w:val="30"/>
        </w:rPr>
        <w:t xml:space="preserve"> ресурсов</w:t>
      </w:r>
      <w:r w:rsidR="00696725" w:rsidRPr="007E19FF">
        <w:rPr>
          <w:rFonts w:ascii="Times New Roman" w:hAnsi="Times New Roman" w:cs="Times New Roman"/>
          <w:sz w:val="30"/>
          <w:szCs w:val="30"/>
        </w:rPr>
        <w:t xml:space="preserve"> сети Интернет</w:t>
      </w:r>
      <w:r w:rsidR="001520C7" w:rsidRPr="007E19FF">
        <w:rPr>
          <w:rFonts w:ascii="Times New Roman" w:hAnsi="Times New Roman" w:cs="Times New Roman"/>
          <w:sz w:val="30"/>
          <w:szCs w:val="30"/>
        </w:rPr>
        <w:t>.</w:t>
      </w:r>
    </w:p>
    <w:p w:rsidR="003A3FA4" w:rsidRPr="007E19FF" w:rsidRDefault="00DE6A23" w:rsidP="001520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19FF">
        <w:rPr>
          <w:rFonts w:ascii="Times New Roman" w:hAnsi="Times New Roman" w:cs="Times New Roman"/>
          <w:sz w:val="30"/>
          <w:szCs w:val="30"/>
        </w:rPr>
        <w:t>Не</w:t>
      </w:r>
      <w:r w:rsidR="003A3FA4" w:rsidRPr="007E19FF">
        <w:rPr>
          <w:rFonts w:ascii="Times New Roman" w:hAnsi="Times New Roman" w:cs="Times New Roman"/>
          <w:sz w:val="30"/>
          <w:szCs w:val="30"/>
        </w:rPr>
        <w:t xml:space="preserve"> смотря на уменьшение количества выполненных справок, количество</w:t>
      </w:r>
      <w:r w:rsidR="00FD22F0" w:rsidRPr="007E19FF">
        <w:rPr>
          <w:rFonts w:ascii="Times New Roman" w:hAnsi="Times New Roman" w:cs="Times New Roman"/>
          <w:sz w:val="30"/>
          <w:szCs w:val="30"/>
        </w:rPr>
        <w:t xml:space="preserve"> невыполненных за пятилетний период сократилось на 68</w:t>
      </w:r>
      <w:r w:rsidR="003A3FA4" w:rsidRPr="007E19FF">
        <w:rPr>
          <w:rFonts w:ascii="Times New Roman" w:hAnsi="Times New Roman" w:cs="Times New Roman"/>
          <w:sz w:val="30"/>
          <w:szCs w:val="30"/>
        </w:rPr>
        <w:t>%</w:t>
      </w:r>
      <w:r w:rsidR="008902F6" w:rsidRPr="007E19FF">
        <w:rPr>
          <w:rFonts w:ascii="Times New Roman" w:hAnsi="Times New Roman" w:cs="Times New Roman"/>
          <w:sz w:val="30"/>
          <w:szCs w:val="30"/>
        </w:rPr>
        <w:t xml:space="preserve">, что свидетельствует о </w:t>
      </w:r>
      <w:r w:rsidR="00FD22F0" w:rsidRPr="007E19FF">
        <w:rPr>
          <w:rFonts w:ascii="Times New Roman" w:hAnsi="Times New Roman" w:cs="Times New Roman"/>
          <w:sz w:val="30"/>
          <w:szCs w:val="30"/>
        </w:rPr>
        <w:t>повышении</w:t>
      </w:r>
      <w:r w:rsidR="003A3FA4" w:rsidRPr="007E19FF">
        <w:rPr>
          <w:rFonts w:ascii="Times New Roman" w:hAnsi="Times New Roman" w:cs="Times New Roman"/>
          <w:sz w:val="30"/>
          <w:szCs w:val="30"/>
        </w:rPr>
        <w:t xml:space="preserve"> уровня обслуживания </w:t>
      </w:r>
      <w:r w:rsidR="0007143E" w:rsidRPr="007E19FF">
        <w:rPr>
          <w:rFonts w:ascii="Times New Roman" w:hAnsi="Times New Roman" w:cs="Times New Roman"/>
          <w:sz w:val="30"/>
          <w:szCs w:val="30"/>
        </w:rPr>
        <w:t xml:space="preserve">в ПЦПИ </w:t>
      </w:r>
      <w:r w:rsidR="003A3FA4" w:rsidRPr="007E19FF">
        <w:rPr>
          <w:rFonts w:ascii="Times New Roman" w:hAnsi="Times New Roman" w:cs="Times New Roman"/>
          <w:sz w:val="30"/>
          <w:szCs w:val="30"/>
        </w:rPr>
        <w:t>и качества информационных ресурсов</w:t>
      </w:r>
      <w:r w:rsidR="0007143E" w:rsidRPr="007E19FF">
        <w:rPr>
          <w:rFonts w:ascii="Times New Roman" w:hAnsi="Times New Roman" w:cs="Times New Roman"/>
          <w:sz w:val="30"/>
          <w:szCs w:val="30"/>
        </w:rPr>
        <w:t xml:space="preserve"> правовой тематики</w:t>
      </w:r>
      <w:r w:rsidR="003A3FA4" w:rsidRPr="007E19FF">
        <w:rPr>
          <w:rFonts w:ascii="Times New Roman" w:hAnsi="Times New Roman" w:cs="Times New Roman"/>
          <w:sz w:val="30"/>
          <w:szCs w:val="30"/>
        </w:rPr>
        <w:t>.</w:t>
      </w:r>
    </w:p>
    <w:p w:rsidR="00A97C15" w:rsidRPr="007E19FF" w:rsidRDefault="00A97C15" w:rsidP="00D200E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19FF">
        <w:rPr>
          <w:rFonts w:ascii="Times New Roman" w:hAnsi="Times New Roman" w:cs="Times New Roman"/>
          <w:sz w:val="30"/>
          <w:szCs w:val="30"/>
        </w:rPr>
        <w:t>Главн</w:t>
      </w:r>
      <w:r w:rsidR="00D200E6" w:rsidRPr="007E19FF">
        <w:rPr>
          <w:rFonts w:ascii="Times New Roman" w:hAnsi="Times New Roman" w:cs="Times New Roman"/>
          <w:sz w:val="30"/>
          <w:szCs w:val="30"/>
        </w:rPr>
        <w:t>ым условием эффективной работы</w:t>
      </w:r>
      <w:r w:rsidRPr="007E19FF">
        <w:rPr>
          <w:rFonts w:ascii="Times New Roman" w:hAnsi="Times New Roman" w:cs="Times New Roman"/>
          <w:sz w:val="30"/>
          <w:szCs w:val="30"/>
        </w:rPr>
        <w:t xml:space="preserve"> центров является </w:t>
      </w:r>
      <w:r w:rsidR="00D875E6" w:rsidRPr="007E19FF">
        <w:rPr>
          <w:rFonts w:ascii="Times New Roman" w:hAnsi="Times New Roman" w:cs="Times New Roman"/>
          <w:sz w:val="30"/>
          <w:szCs w:val="30"/>
        </w:rPr>
        <w:t>оперативность</w:t>
      </w:r>
      <w:r w:rsidRPr="007E19FF">
        <w:rPr>
          <w:rFonts w:ascii="Times New Roman" w:hAnsi="Times New Roman" w:cs="Times New Roman"/>
          <w:sz w:val="30"/>
          <w:szCs w:val="30"/>
        </w:rPr>
        <w:t xml:space="preserve"> актуализации </w:t>
      </w:r>
      <w:r w:rsidR="006B0B75" w:rsidRPr="007E19FF">
        <w:rPr>
          <w:rFonts w:ascii="Times New Roman" w:hAnsi="Times New Roman" w:cs="Times New Roman"/>
          <w:sz w:val="30"/>
          <w:szCs w:val="30"/>
        </w:rPr>
        <w:t xml:space="preserve">ИПС </w:t>
      </w:r>
      <w:r w:rsidR="00D200E6" w:rsidRPr="007E19FF">
        <w:rPr>
          <w:rFonts w:ascii="Times New Roman" w:hAnsi="Times New Roman" w:cs="Times New Roman"/>
          <w:sz w:val="30"/>
          <w:szCs w:val="30"/>
        </w:rPr>
        <w:t>«ЭТАЛОН»</w:t>
      </w:r>
      <w:r w:rsidRPr="007E19FF">
        <w:rPr>
          <w:rFonts w:ascii="Times New Roman" w:hAnsi="Times New Roman" w:cs="Times New Roman"/>
          <w:sz w:val="30"/>
          <w:szCs w:val="30"/>
        </w:rPr>
        <w:t xml:space="preserve">. В анализируемый период </w:t>
      </w:r>
      <w:r w:rsidR="00485955" w:rsidRPr="007E19FF">
        <w:rPr>
          <w:rFonts w:ascii="Times New Roman" w:hAnsi="Times New Roman" w:cs="Times New Roman"/>
          <w:sz w:val="30"/>
          <w:szCs w:val="30"/>
        </w:rPr>
        <w:t>произошли</w:t>
      </w:r>
      <w:r w:rsidRPr="007E19FF">
        <w:rPr>
          <w:rFonts w:ascii="Times New Roman" w:hAnsi="Times New Roman" w:cs="Times New Roman"/>
          <w:sz w:val="30"/>
          <w:szCs w:val="30"/>
        </w:rPr>
        <w:t xml:space="preserve"> положительные изменения в данном направлении</w:t>
      </w:r>
      <w:r w:rsidR="00572653" w:rsidRPr="007E19FF">
        <w:rPr>
          <w:rFonts w:ascii="Times New Roman" w:hAnsi="Times New Roman" w:cs="Times New Roman"/>
          <w:sz w:val="30"/>
          <w:szCs w:val="30"/>
        </w:rPr>
        <w:t xml:space="preserve"> –</w:t>
      </w:r>
      <w:r w:rsidR="003B30D0" w:rsidRPr="007E19FF">
        <w:rPr>
          <w:rFonts w:ascii="Times New Roman" w:hAnsi="Times New Roman" w:cs="Times New Roman"/>
          <w:sz w:val="30"/>
          <w:szCs w:val="30"/>
        </w:rPr>
        <w:t xml:space="preserve"> обновление с</w:t>
      </w:r>
      <w:r w:rsidR="00421657" w:rsidRPr="007E19FF">
        <w:rPr>
          <w:rFonts w:ascii="Times New Roman" w:hAnsi="Times New Roman" w:cs="Times New Roman"/>
          <w:sz w:val="30"/>
          <w:szCs w:val="30"/>
        </w:rPr>
        <w:t xml:space="preserve">тало происходить значительно </w:t>
      </w:r>
      <w:proofErr w:type="spellStart"/>
      <w:r w:rsidR="00421657" w:rsidRPr="007E19FF">
        <w:rPr>
          <w:rFonts w:ascii="Times New Roman" w:hAnsi="Times New Roman" w:cs="Times New Roman"/>
          <w:sz w:val="30"/>
          <w:szCs w:val="30"/>
        </w:rPr>
        <w:t>оперативне</w:t>
      </w:r>
      <w:r w:rsidR="003B30D0" w:rsidRPr="007E19FF">
        <w:rPr>
          <w:rFonts w:ascii="Times New Roman" w:hAnsi="Times New Roman" w:cs="Times New Roman"/>
          <w:sz w:val="30"/>
          <w:szCs w:val="30"/>
        </w:rPr>
        <w:t>е</w:t>
      </w:r>
      <w:proofErr w:type="spellEnd"/>
      <w:r w:rsidRPr="007E19FF">
        <w:rPr>
          <w:rFonts w:ascii="Times New Roman" w:hAnsi="Times New Roman" w:cs="Times New Roman"/>
          <w:sz w:val="30"/>
          <w:szCs w:val="30"/>
        </w:rPr>
        <w:t xml:space="preserve">. </w:t>
      </w:r>
      <w:r w:rsidR="00485955" w:rsidRPr="007E19FF">
        <w:rPr>
          <w:rFonts w:ascii="Times New Roman" w:hAnsi="Times New Roman" w:cs="Times New Roman"/>
          <w:sz w:val="30"/>
          <w:szCs w:val="30"/>
        </w:rPr>
        <w:t xml:space="preserve">Так, </w:t>
      </w:r>
      <w:r w:rsidR="00572653" w:rsidRPr="007E19FF">
        <w:rPr>
          <w:rFonts w:ascii="Times New Roman" w:hAnsi="Times New Roman" w:cs="Times New Roman"/>
          <w:sz w:val="30"/>
          <w:szCs w:val="30"/>
        </w:rPr>
        <w:t>исходя из статистических данных</w:t>
      </w:r>
      <w:r w:rsidR="00BE72A3" w:rsidRPr="007E19FF">
        <w:rPr>
          <w:rFonts w:ascii="Times New Roman" w:hAnsi="Times New Roman" w:cs="Times New Roman"/>
          <w:sz w:val="30"/>
          <w:szCs w:val="30"/>
        </w:rPr>
        <w:t>, на конец 2020 г. 73</w:t>
      </w:r>
      <w:r w:rsidR="008E144F" w:rsidRPr="007E19FF">
        <w:rPr>
          <w:rFonts w:ascii="Times New Roman" w:hAnsi="Times New Roman" w:cs="Times New Roman"/>
          <w:sz w:val="30"/>
          <w:szCs w:val="30"/>
        </w:rPr>
        <w:t>% публичных центров правовой инф</w:t>
      </w:r>
      <w:r w:rsidR="00572653" w:rsidRPr="007E19FF">
        <w:rPr>
          <w:rFonts w:ascii="Times New Roman" w:hAnsi="Times New Roman" w:cs="Times New Roman"/>
          <w:sz w:val="30"/>
          <w:szCs w:val="30"/>
        </w:rPr>
        <w:t>ормации обновляли</w:t>
      </w:r>
      <w:r w:rsidR="00FA7EEA" w:rsidRPr="007E19FF">
        <w:rPr>
          <w:rFonts w:ascii="Times New Roman" w:hAnsi="Times New Roman" w:cs="Times New Roman"/>
          <w:sz w:val="30"/>
          <w:szCs w:val="30"/>
        </w:rPr>
        <w:t xml:space="preserve"> </w:t>
      </w:r>
      <w:r w:rsidR="00D77FD4" w:rsidRPr="007E19FF">
        <w:rPr>
          <w:rFonts w:ascii="Times New Roman" w:hAnsi="Times New Roman" w:cs="Times New Roman"/>
          <w:sz w:val="30"/>
          <w:szCs w:val="30"/>
        </w:rPr>
        <w:t>ИПС «ЭТАЛОН»</w:t>
      </w:r>
      <w:r w:rsidR="00FA7EEA" w:rsidRPr="007E19F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A7EEA" w:rsidRPr="007E19FF">
        <w:rPr>
          <w:rFonts w:ascii="Times New Roman" w:hAnsi="Times New Roman" w:cs="Times New Roman"/>
          <w:sz w:val="30"/>
          <w:szCs w:val="30"/>
        </w:rPr>
        <w:t>on-line</w:t>
      </w:r>
      <w:proofErr w:type="spellEnd"/>
      <w:r w:rsidR="00485955" w:rsidRPr="007E19FF">
        <w:rPr>
          <w:rFonts w:ascii="Times New Roman" w:hAnsi="Times New Roman" w:cs="Times New Roman"/>
          <w:sz w:val="30"/>
          <w:szCs w:val="30"/>
        </w:rPr>
        <w:t xml:space="preserve"> (через FTP)</w:t>
      </w:r>
      <w:r w:rsidR="00F157EF" w:rsidRPr="007E19FF">
        <w:rPr>
          <w:rFonts w:ascii="Times New Roman" w:hAnsi="Times New Roman" w:cs="Times New Roman"/>
          <w:sz w:val="30"/>
          <w:szCs w:val="30"/>
        </w:rPr>
        <w:t>,</w:t>
      </w:r>
      <w:r w:rsidR="00FA7EEA" w:rsidRPr="007E19FF">
        <w:rPr>
          <w:rFonts w:ascii="Times New Roman" w:hAnsi="Times New Roman" w:cs="Times New Roman"/>
          <w:sz w:val="30"/>
          <w:szCs w:val="30"/>
        </w:rPr>
        <w:t xml:space="preserve"> </w:t>
      </w:r>
      <w:r w:rsidR="00F157EF" w:rsidRPr="007E19FF">
        <w:rPr>
          <w:rFonts w:ascii="Times New Roman" w:hAnsi="Times New Roman" w:cs="Times New Roman"/>
          <w:sz w:val="30"/>
          <w:szCs w:val="30"/>
        </w:rPr>
        <w:t>в</w:t>
      </w:r>
      <w:r w:rsidR="008E144F" w:rsidRPr="007E19FF">
        <w:rPr>
          <w:rFonts w:ascii="Times New Roman" w:hAnsi="Times New Roman" w:cs="Times New Roman"/>
          <w:sz w:val="30"/>
          <w:szCs w:val="30"/>
        </w:rPr>
        <w:t xml:space="preserve"> 7</w:t>
      </w:r>
      <w:r w:rsidR="00BE72A3" w:rsidRPr="007E19FF">
        <w:rPr>
          <w:rFonts w:ascii="Times New Roman" w:hAnsi="Times New Roman" w:cs="Times New Roman"/>
          <w:sz w:val="30"/>
          <w:szCs w:val="30"/>
        </w:rPr>
        <w:t>6</w:t>
      </w:r>
      <w:r w:rsidR="00365A00" w:rsidRPr="007E19FF">
        <w:rPr>
          <w:rFonts w:ascii="Times New Roman" w:hAnsi="Times New Roman" w:cs="Times New Roman"/>
          <w:sz w:val="30"/>
          <w:szCs w:val="30"/>
        </w:rPr>
        <w:t>% ПЦПИ актуализация происходила</w:t>
      </w:r>
      <w:r w:rsidR="00BE72A3" w:rsidRPr="007E19FF">
        <w:rPr>
          <w:rFonts w:ascii="Times New Roman" w:hAnsi="Times New Roman" w:cs="Times New Roman"/>
          <w:sz w:val="30"/>
          <w:szCs w:val="30"/>
        </w:rPr>
        <w:t xml:space="preserve"> ежедневно, раз в месяц – в 11</w:t>
      </w:r>
      <w:r w:rsidR="008E144F" w:rsidRPr="007E19FF">
        <w:rPr>
          <w:rFonts w:ascii="Times New Roman" w:hAnsi="Times New Roman" w:cs="Times New Roman"/>
          <w:sz w:val="30"/>
          <w:szCs w:val="30"/>
        </w:rPr>
        <w:t xml:space="preserve">% </w:t>
      </w:r>
      <w:r w:rsidR="00485955" w:rsidRPr="007E19FF">
        <w:rPr>
          <w:rFonts w:ascii="Times New Roman" w:hAnsi="Times New Roman" w:cs="Times New Roman"/>
          <w:sz w:val="30"/>
          <w:szCs w:val="30"/>
        </w:rPr>
        <w:t>центров</w:t>
      </w:r>
      <w:r w:rsidR="008E144F" w:rsidRPr="007E19FF">
        <w:rPr>
          <w:rFonts w:ascii="Times New Roman" w:hAnsi="Times New Roman" w:cs="Times New Roman"/>
          <w:sz w:val="30"/>
          <w:szCs w:val="30"/>
        </w:rPr>
        <w:t>, раз в неделю</w:t>
      </w:r>
      <w:r w:rsidR="00D875E6" w:rsidRPr="007E19FF">
        <w:rPr>
          <w:rFonts w:ascii="Times New Roman" w:hAnsi="Times New Roman" w:cs="Times New Roman"/>
          <w:sz w:val="30"/>
          <w:szCs w:val="30"/>
        </w:rPr>
        <w:t xml:space="preserve"> – в 10%</w:t>
      </w:r>
      <w:r w:rsidR="00FA7EEA" w:rsidRPr="007E19FF">
        <w:rPr>
          <w:rFonts w:ascii="Times New Roman" w:hAnsi="Times New Roman" w:cs="Times New Roman"/>
          <w:sz w:val="30"/>
          <w:szCs w:val="30"/>
        </w:rPr>
        <w:t>.</w:t>
      </w:r>
      <w:r w:rsidR="00485955" w:rsidRPr="007E19FF">
        <w:rPr>
          <w:rFonts w:ascii="Times New Roman" w:hAnsi="Times New Roman" w:cs="Times New Roman"/>
          <w:sz w:val="30"/>
          <w:szCs w:val="30"/>
        </w:rPr>
        <w:t xml:space="preserve"> </w:t>
      </w:r>
      <w:r w:rsidR="00FA7EEA" w:rsidRPr="007E19FF">
        <w:rPr>
          <w:rFonts w:ascii="Times New Roman" w:hAnsi="Times New Roman" w:cs="Times New Roman"/>
          <w:sz w:val="30"/>
          <w:szCs w:val="30"/>
        </w:rPr>
        <w:t>Для сравнения, по итогам 2015</w:t>
      </w:r>
      <w:r w:rsidR="008E144F" w:rsidRPr="007E19FF">
        <w:rPr>
          <w:rFonts w:ascii="Times New Roman" w:hAnsi="Times New Roman" w:cs="Times New Roman"/>
          <w:sz w:val="30"/>
          <w:szCs w:val="30"/>
        </w:rPr>
        <w:t xml:space="preserve"> г. </w:t>
      </w:r>
      <w:r w:rsidR="00485955" w:rsidRPr="007E19FF">
        <w:rPr>
          <w:rFonts w:ascii="Times New Roman" w:hAnsi="Times New Roman" w:cs="Times New Roman"/>
          <w:sz w:val="30"/>
          <w:szCs w:val="30"/>
        </w:rPr>
        <w:t xml:space="preserve">лишь </w:t>
      </w:r>
      <w:r w:rsidR="00D77FD4" w:rsidRPr="007E19FF">
        <w:rPr>
          <w:rFonts w:ascii="Times New Roman" w:hAnsi="Times New Roman" w:cs="Times New Roman"/>
          <w:sz w:val="30"/>
          <w:szCs w:val="30"/>
        </w:rPr>
        <w:t xml:space="preserve">в </w:t>
      </w:r>
      <w:r w:rsidR="00BE72A3" w:rsidRPr="007E19FF">
        <w:rPr>
          <w:rFonts w:ascii="Times New Roman" w:hAnsi="Times New Roman" w:cs="Times New Roman"/>
          <w:sz w:val="30"/>
          <w:szCs w:val="30"/>
        </w:rPr>
        <w:t>35</w:t>
      </w:r>
      <w:r w:rsidR="00FA7EEA" w:rsidRPr="007E19FF">
        <w:rPr>
          <w:rFonts w:ascii="Times New Roman" w:hAnsi="Times New Roman" w:cs="Times New Roman"/>
          <w:sz w:val="30"/>
          <w:szCs w:val="30"/>
        </w:rPr>
        <w:t xml:space="preserve">% </w:t>
      </w:r>
      <w:r w:rsidR="00485955" w:rsidRPr="007E19FF">
        <w:rPr>
          <w:rFonts w:ascii="Times New Roman" w:hAnsi="Times New Roman" w:cs="Times New Roman"/>
          <w:sz w:val="30"/>
          <w:szCs w:val="30"/>
        </w:rPr>
        <w:t>ПЦПИ</w:t>
      </w:r>
      <w:r w:rsidR="00FA7EEA" w:rsidRPr="007E19FF">
        <w:rPr>
          <w:rFonts w:ascii="Times New Roman" w:hAnsi="Times New Roman" w:cs="Times New Roman"/>
          <w:sz w:val="30"/>
          <w:szCs w:val="30"/>
        </w:rPr>
        <w:t xml:space="preserve"> </w:t>
      </w:r>
      <w:r w:rsidR="00D77FD4" w:rsidRPr="007E19FF">
        <w:rPr>
          <w:rFonts w:ascii="Times New Roman" w:hAnsi="Times New Roman" w:cs="Times New Roman"/>
          <w:sz w:val="30"/>
          <w:szCs w:val="30"/>
        </w:rPr>
        <w:t>обновление про</w:t>
      </w:r>
      <w:r w:rsidR="00A54B8F" w:rsidRPr="007E19FF">
        <w:rPr>
          <w:rFonts w:ascii="Times New Roman" w:hAnsi="Times New Roman" w:cs="Times New Roman"/>
          <w:sz w:val="30"/>
          <w:szCs w:val="30"/>
        </w:rPr>
        <w:t>ис</w:t>
      </w:r>
      <w:r w:rsidR="00D77FD4" w:rsidRPr="007E19FF">
        <w:rPr>
          <w:rFonts w:ascii="Times New Roman" w:hAnsi="Times New Roman" w:cs="Times New Roman"/>
          <w:sz w:val="30"/>
          <w:szCs w:val="30"/>
        </w:rPr>
        <w:t xml:space="preserve">ходило </w:t>
      </w:r>
      <w:proofErr w:type="spellStart"/>
      <w:r w:rsidR="00BE72A3" w:rsidRPr="007E19FF">
        <w:rPr>
          <w:rFonts w:ascii="Times New Roman" w:hAnsi="Times New Roman" w:cs="Times New Roman"/>
          <w:sz w:val="30"/>
          <w:szCs w:val="30"/>
        </w:rPr>
        <w:t>on-line</w:t>
      </w:r>
      <w:proofErr w:type="spellEnd"/>
      <w:r w:rsidR="00BE72A3" w:rsidRPr="007E19FF">
        <w:rPr>
          <w:rFonts w:ascii="Times New Roman" w:hAnsi="Times New Roman" w:cs="Times New Roman"/>
          <w:sz w:val="30"/>
          <w:szCs w:val="30"/>
        </w:rPr>
        <w:t>, 27</w:t>
      </w:r>
      <w:r w:rsidR="00FA7EEA" w:rsidRPr="007E19FF">
        <w:rPr>
          <w:rFonts w:ascii="Times New Roman" w:hAnsi="Times New Roman" w:cs="Times New Roman"/>
          <w:sz w:val="30"/>
          <w:szCs w:val="30"/>
        </w:rPr>
        <w:t>% – ежедневно, 25</w:t>
      </w:r>
      <w:r w:rsidR="00B560B5" w:rsidRPr="007E19FF">
        <w:rPr>
          <w:rFonts w:ascii="Times New Roman" w:hAnsi="Times New Roman" w:cs="Times New Roman"/>
          <w:sz w:val="30"/>
          <w:szCs w:val="30"/>
        </w:rPr>
        <w:t>%</w:t>
      </w:r>
      <w:r w:rsidR="00BE72A3" w:rsidRPr="007E19FF">
        <w:rPr>
          <w:rFonts w:ascii="Times New Roman" w:hAnsi="Times New Roman" w:cs="Times New Roman"/>
          <w:sz w:val="30"/>
          <w:szCs w:val="30"/>
        </w:rPr>
        <w:t xml:space="preserve"> – раз в месяц, 21</w:t>
      </w:r>
      <w:r w:rsidR="00FA7EEA" w:rsidRPr="007E19FF">
        <w:rPr>
          <w:rFonts w:ascii="Times New Roman" w:hAnsi="Times New Roman" w:cs="Times New Roman"/>
          <w:sz w:val="30"/>
          <w:szCs w:val="30"/>
        </w:rPr>
        <w:t>% – раз в квартал.</w:t>
      </w:r>
      <w:r w:rsidR="00485955" w:rsidRPr="007E19F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D1AD8" w:rsidRPr="007E19FF" w:rsidRDefault="002D1AD8" w:rsidP="002D1A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19FF">
        <w:rPr>
          <w:rFonts w:ascii="Times New Roman" w:hAnsi="Times New Roman" w:cs="Times New Roman"/>
          <w:sz w:val="30"/>
          <w:szCs w:val="30"/>
        </w:rPr>
        <w:t xml:space="preserve">Совокупный фонд публичных центров правовой информации республики </w:t>
      </w:r>
      <w:r w:rsidR="00F157EF" w:rsidRPr="007E19FF">
        <w:rPr>
          <w:rFonts w:ascii="Times New Roman" w:hAnsi="Times New Roman" w:cs="Times New Roman"/>
          <w:sz w:val="30"/>
          <w:szCs w:val="30"/>
        </w:rPr>
        <w:t>насчитывал</w:t>
      </w:r>
      <w:r w:rsidRPr="007E19FF">
        <w:rPr>
          <w:rFonts w:ascii="Times New Roman" w:hAnsi="Times New Roman" w:cs="Times New Roman"/>
          <w:sz w:val="30"/>
          <w:szCs w:val="30"/>
        </w:rPr>
        <w:t xml:space="preserve"> на конец 2020 г. 301,5 тыс. единиц</w:t>
      </w:r>
      <w:r w:rsidR="00A83982" w:rsidRPr="007E19FF">
        <w:rPr>
          <w:rFonts w:ascii="Times New Roman" w:hAnsi="Times New Roman" w:cs="Times New Roman"/>
          <w:sz w:val="30"/>
          <w:szCs w:val="30"/>
        </w:rPr>
        <w:t xml:space="preserve"> документов нормативно-правовой тематики</w:t>
      </w:r>
      <w:r w:rsidRPr="007E19FF">
        <w:rPr>
          <w:rFonts w:ascii="Times New Roman" w:hAnsi="Times New Roman" w:cs="Times New Roman"/>
          <w:sz w:val="30"/>
          <w:szCs w:val="30"/>
        </w:rPr>
        <w:t xml:space="preserve">. </w:t>
      </w:r>
      <w:r w:rsidR="00C449CB" w:rsidRPr="007E19FF">
        <w:rPr>
          <w:rFonts w:ascii="Times New Roman" w:hAnsi="Times New Roman" w:cs="Times New Roman"/>
          <w:sz w:val="30"/>
          <w:szCs w:val="30"/>
        </w:rPr>
        <w:t>Книги и брошюры составили</w:t>
      </w:r>
      <w:r w:rsidR="00D84992" w:rsidRPr="007E19FF">
        <w:rPr>
          <w:rFonts w:ascii="Times New Roman" w:hAnsi="Times New Roman" w:cs="Times New Roman"/>
          <w:sz w:val="30"/>
          <w:szCs w:val="30"/>
        </w:rPr>
        <w:t xml:space="preserve"> </w:t>
      </w:r>
      <w:r w:rsidR="00556FA8" w:rsidRPr="007E19FF">
        <w:rPr>
          <w:rFonts w:ascii="Times New Roman" w:hAnsi="Times New Roman" w:cs="Times New Roman"/>
          <w:sz w:val="30"/>
          <w:szCs w:val="30"/>
        </w:rPr>
        <w:t>49</w:t>
      </w:r>
      <w:r w:rsidRPr="007E19FF">
        <w:rPr>
          <w:rFonts w:ascii="Times New Roman" w:hAnsi="Times New Roman" w:cs="Times New Roman"/>
          <w:sz w:val="30"/>
          <w:szCs w:val="30"/>
        </w:rPr>
        <w:t xml:space="preserve">% </w:t>
      </w:r>
      <w:r w:rsidR="00D84992" w:rsidRPr="007E19FF">
        <w:rPr>
          <w:rFonts w:ascii="Times New Roman" w:hAnsi="Times New Roman" w:cs="Times New Roman"/>
          <w:sz w:val="30"/>
          <w:szCs w:val="30"/>
        </w:rPr>
        <w:t>от общего количества информационных ресурсов ПЦПИ</w:t>
      </w:r>
      <w:r w:rsidRPr="007E19FF">
        <w:rPr>
          <w:rFonts w:ascii="Times New Roman" w:hAnsi="Times New Roman" w:cs="Times New Roman"/>
          <w:sz w:val="30"/>
          <w:szCs w:val="30"/>
        </w:rPr>
        <w:t xml:space="preserve">, </w:t>
      </w:r>
      <w:r w:rsidR="005F674C" w:rsidRPr="007E19FF">
        <w:rPr>
          <w:rFonts w:ascii="Times New Roman" w:hAnsi="Times New Roman" w:cs="Times New Roman"/>
          <w:sz w:val="30"/>
          <w:szCs w:val="30"/>
        </w:rPr>
        <w:t>столько же (</w:t>
      </w:r>
      <w:r w:rsidRPr="007E19FF">
        <w:rPr>
          <w:rFonts w:ascii="Times New Roman" w:hAnsi="Times New Roman" w:cs="Times New Roman"/>
          <w:sz w:val="30"/>
          <w:szCs w:val="30"/>
        </w:rPr>
        <w:t>4</w:t>
      </w:r>
      <w:r w:rsidR="005F674C" w:rsidRPr="007E19FF">
        <w:rPr>
          <w:rFonts w:ascii="Times New Roman" w:hAnsi="Times New Roman" w:cs="Times New Roman"/>
          <w:sz w:val="30"/>
          <w:szCs w:val="30"/>
        </w:rPr>
        <w:t>9%)</w:t>
      </w:r>
      <w:r w:rsidR="005C41DE" w:rsidRPr="007E19FF">
        <w:rPr>
          <w:rFonts w:ascii="Times New Roman" w:hAnsi="Times New Roman" w:cs="Times New Roman"/>
          <w:sz w:val="30"/>
          <w:szCs w:val="30"/>
        </w:rPr>
        <w:t xml:space="preserve"> – </w:t>
      </w:r>
      <w:r w:rsidRPr="007E19FF">
        <w:rPr>
          <w:rFonts w:ascii="Times New Roman" w:hAnsi="Times New Roman" w:cs="Times New Roman"/>
          <w:sz w:val="30"/>
          <w:szCs w:val="30"/>
        </w:rPr>
        <w:t xml:space="preserve">периодические издания, </w:t>
      </w:r>
      <w:r w:rsidR="005C41DE" w:rsidRPr="007E19FF">
        <w:rPr>
          <w:rFonts w:ascii="Times New Roman" w:hAnsi="Times New Roman" w:cs="Times New Roman"/>
          <w:sz w:val="30"/>
          <w:szCs w:val="30"/>
        </w:rPr>
        <w:t>половина</w:t>
      </w:r>
      <w:r w:rsidR="00C449CB" w:rsidRPr="007E19FF">
        <w:rPr>
          <w:rFonts w:ascii="Times New Roman" w:hAnsi="Times New Roman" w:cs="Times New Roman"/>
          <w:sz w:val="30"/>
          <w:szCs w:val="30"/>
        </w:rPr>
        <w:t xml:space="preserve"> из</w:t>
      </w:r>
      <w:r w:rsidRPr="007E19FF">
        <w:rPr>
          <w:rFonts w:ascii="Times New Roman" w:hAnsi="Times New Roman" w:cs="Times New Roman"/>
          <w:sz w:val="30"/>
          <w:szCs w:val="30"/>
        </w:rPr>
        <w:t xml:space="preserve"> </w:t>
      </w:r>
      <w:r w:rsidR="004470E5" w:rsidRPr="007E19FF">
        <w:rPr>
          <w:rFonts w:ascii="Times New Roman" w:hAnsi="Times New Roman" w:cs="Times New Roman"/>
          <w:sz w:val="30"/>
          <w:szCs w:val="30"/>
        </w:rPr>
        <w:t xml:space="preserve">которых </w:t>
      </w:r>
      <w:r w:rsidR="005C41DE" w:rsidRPr="007E19FF">
        <w:rPr>
          <w:rFonts w:ascii="Times New Roman" w:hAnsi="Times New Roman" w:cs="Times New Roman"/>
          <w:sz w:val="30"/>
          <w:szCs w:val="30"/>
        </w:rPr>
        <w:t>представлена Национальным</w:t>
      </w:r>
      <w:r w:rsidRPr="007E19FF">
        <w:rPr>
          <w:rFonts w:ascii="Times New Roman" w:hAnsi="Times New Roman" w:cs="Times New Roman"/>
          <w:sz w:val="30"/>
          <w:szCs w:val="30"/>
        </w:rPr>
        <w:t xml:space="preserve"> реестр</w:t>
      </w:r>
      <w:r w:rsidR="005C41DE" w:rsidRPr="007E19FF">
        <w:rPr>
          <w:rFonts w:ascii="Times New Roman" w:hAnsi="Times New Roman" w:cs="Times New Roman"/>
          <w:sz w:val="30"/>
          <w:szCs w:val="30"/>
        </w:rPr>
        <w:t>ом</w:t>
      </w:r>
      <w:r w:rsidRPr="007E19FF">
        <w:rPr>
          <w:rFonts w:ascii="Times New Roman" w:hAnsi="Times New Roman" w:cs="Times New Roman"/>
          <w:sz w:val="30"/>
          <w:szCs w:val="30"/>
        </w:rPr>
        <w:t xml:space="preserve"> правов</w:t>
      </w:r>
      <w:r w:rsidR="00897338" w:rsidRPr="007E19FF">
        <w:rPr>
          <w:rFonts w:ascii="Times New Roman" w:hAnsi="Times New Roman" w:cs="Times New Roman"/>
          <w:sz w:val="30"/>
          <w:szCs w:val="30"/>
        </w:rPr>
        <w:t>ых актов Республики Беларусь</w:t>
      </w:r>
      <w:r w:rsidRPr="007E19FF">
        <w:rPr>
          <w:rFonts w:ascii="Times New Roman" w:hAnsi="Times New Roman" w:cs="Times New Roman"/>
          <w:sz w:val="30"/>
          <w:szCs w:val="30"/>
        </w:rPr>
        <w:t>.</w:t>
      </w:r>
    </w:p>
    <w:p w:rsidR="00E42ED1" w:rsidRPr="007E19FF" w:rsidRDefault="002D1AD8" w:rsidP="002D1A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19FF">
        <w:rPr>
          <w:rFonts w:ascii="Times New Roman" w:hAnsi="Times New Roman" w:cs="Times New Roman"/>
          <w:sz w:val="30"/>
          <w:szCs w:val="30"/>
        </w:rPr>
        <w:t xml:space="preserve">В рассматриваемый период документный фонд </w:t>
      </w:r>
      <w:r w:rsidR="004470E5" w:rsidRPr="007E19FF">
        <w:rPr>
          <w:rFonts w:ascii="Times New Roman" w:hAnsi="Times New Roman" w:cs="Times New Roman"/>
          <w:sz w:val="30"/>
          <w:szCs w:val="30"/>
        </w:rPr>
        <w:t>центров</w:t>
      </w:r>
      <w:r w:rsidRPr="007E19FF">
        <w:rPr>
          <w:rFonts w:ascii="Times New Roman" w:hAnsi="Times New Roman" w:cs="Times New Roman"/>
          <w:sz w:val="30"/>
          <w:szCs w:val="30"/>
        </w:rPr>
        <w:t xml:space="preserve"> не пользовался устойчивым спросом </w:t>
      </w:r>
      <w:r w:rsidR="00F157EF" w:rsidRPr="007E19FF">
        <w:rPr>
          <w:rFonts w:ascii="Times New Roman" w:hAnsi="Times New Roman" w:cs="Times New Roman"/>
          <w:sz w:val="30"/>
          <w:szCs w:val="30"/>
        </w:rPr>
        <w:t xml:space="preserve">у </w:t>
      </w:r>
      <w:r w:rsidRPr="007E19FF">
        <w:rPr>
          <w:rFonts w:ascii="Times New Roman" w:hAnsi="Times New Roman" w:cs="Times New Roman"/>
          <w:sz w:val="30"/>
          <w:szCs w:val="30"/>
        </w:rPr>
        <w:t xml:space="preserve">читателей: количество </w:t>
      </w:r>
      <w:r w:rsidR="00BB1F84" w:rsidRPr="007E19FF">
        <w:rPr>
          <w:rFonts w:ascii="Times New Roman" w:hAnsi="Times New Roman" w:cs="Times New Roman"/>
          <w:sz w:val="30"/>
          <w:szCs w:val="30"/>
        </w:rPr>
        <w:t>книго</w:t>
      </w:r>
      <w:r w:rsidRPr="007E19FF">
        <w:rPr>
          <w:rFonts w:ascii="Times New Roman" w:hAnsi="Times New Roman" w:cs="Times New Roman"/>
          <w:sz w:val="30"/>
          <w:szCs w:val="30"/>
        </w:rPr>
        <w:t xml:space="preserve">выдач сократилось на </w:t>
      </w:r>
      <w:r w:rsidR="00E42ED1" w:rsidRPr="007E19FF">
        <w:rPr>
          <w:rFonts w:ascii="Times New Roman" w:hAnsi="Times New Roman" w:cs="Times New Roman"/>
          <w:sz w:val="30"/>
          <w:szCs w:val="30"/>
        </w:rPr>
        <w:t>3</w:t>
      </w:r>
      <w:r w:rsidRPr="007E19FF">
        <w:rPr>
          <w:rFonts w:ascii="Times New Roman" w:hAnsi="Times New Roman" w:cs="Times New Roman"/>
          <w:sz w:val="30"/>
          <w:szCs w:val="30"/>
        </w:rPr>
        <w:t xml:space="preserve">4%. </w:t>
      </w:r>
    </w:p>
    <w:p w:rsidR="009960A7" w:rsidRPr="007E19FF" w:rsidRDefault="00F157EF" w:rsidP="002D1A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19FF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1A1FE4" w:rsidRPr="007E19FF">
        <w:rPr>
          <w:rFonts w:ascii="Times New Roman" w:hAnsi="Times New Roman" w:cs="Times New Roman"/>
          <w:sz w:val="30"/>
          <w:szCs w:val="30"/>
        </w:rPr>
        <w:t xml:space="preserve">результатам мониторинга тематики обращений пользователей </w:t>
      </w:r>
      <w:r w:rsidR="002D1AD8" w:rsidRPr="007E19FF">
        <w:rPr>
          <w:rFonts w:ascii="Times New Roman" w:hAnsi="Times New Roman" w:cs="Times New Roman"/>
          <w:sz w:val="30"/>
          <w:szCs w:val="30"/>
        </w:rPr>
        <w:t xml:space="preserve">в </w:t>
      </w:r>
      <w:r w:rsidR="00C449CB" w:rsidRPr="007E19FF">
        <w:rPr>
          <w:rFonts w:ascii="Times New Roman" w:hAnsi="Times New Roman" w:cs="Times New Roman"/>
          <w:sz w:val="30"/>
          <w:szCs w:val="30"/>
        </w:rPr>
        <w:t>отдельные ПЦПИ</w:t>
      </w:r>
      <w:r w:rsidR="002D1AD8" w:rsidRPr="007E19FF">
        <w:rPr>
          <w:rFonts w:ascii="Times New Roman" w:hAnsi="Times New Roman" w:cs="Times New Roman"/>
          <w:sz w:val="30"/>
          <w:szCs w:val="30"/>
        </w:rPr>
        <w:t xml:space="preserve">, наибольший </w:t>
      </w:r>
      <w:r w:rsidRPr="007E19FF">
        <w:rPr>
          <w:rFonts w:ascii="Times New Roman" w:hAnsi="Times New Roman" w:cs="Times New Roman"/>
          <w:sz w:val="30"/>
          <w:szCs w:val="30"/>
        </w:rPr>
        <w:t xml:space="preserve">интерес </w:t>
      </w:r>
      <w:r w:rsidR="00E42ED1" w:rsidRPr="007E19FF">
        <w:rPr>
          <w:rFonts w:ascii="Times New Roman" w:hAnsi="Times New Roman" w:cs="Times New Roman"/>
          <w:sz w:val="30"/>
          <w:szCs w:val="30"/>
        </w:rPr>
        <w:t>выз</w:t>
      </w:r>
      <w:r w:rsidR="004E763F" w:rsidRPr="007E19FF">
        <w:rPr>
          <w:rFonts w:ascii="Times New Roman" w:hAnsi="Times New Roman" w:cs="Times New Roman"/>
          <w:sz w:val="30"/>
          <w:szCs w:val="30"/>
        </w:rPr>
        <w:t>ы</w:t>
      </w:r>
      <w:r w:rsidR="00E42ED1" w:rsidRPr="007E19FF">
        <w:rPr>
          <w:rFonts w:ascii="Times New Roman" w:hAnsi="Times New Roman" w:cs="Times New Roman"/>
          <w:sz w:val="30"/>
          <w:szCs w:val="30"/>
        </w:rPr>
        <w:t>вали</w:t>
      </w:r>
      <w:r w:rsidR="000172B6" w:rsidRPr="007E19FF">
        <w:rPr>
          <w:rFonts w:ascii="Times New Roman" w:hAnsi="Times New Roman" w:cs="Times New Roman"/>
          <w:sz w:val="30"/>
          <w:szCs w:val="30"/>
        </w:rPr>
        <w:t xml:space="preserve"> </w:t>
      </w:r>
      <w:r w:rsidR="002D1AD8" w:rsidRPr="007E19FF">
        <w:rPr>
          <w:rFonts w:ascii="Times New Roman" w:hAnsi="Times New Roman" w:cs="Times New Roman"/>
          <w:sz w:val="30"/>
          <w:szCs w:val="30"/>
        </w:rPr>
        <w:t>вопросы, касающиеся предпринимательской и хозяйственной деятельности, жилищного законодательства, а также законодательства о труде и занятости населения.</w:t>
      </w:r>
    </w:p>
    <w:p w:rsidR="00441279" w:rsidRPr="007E19FF" w:rsidRDefault="00995940" w:rsidP="001520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19FF">
        <w:rPr>
          <w:rFonts w:ascii="Times New Roman" w:hAnsi="Times New Roman" w:cs="Times New Roman"/>
          <w:sz w:val="30"/>
          <w:szCs w:val="30"/>
        </w:rPr>
        <w:lastRenderedPageBreak/>
        <w:t>Существенных изменений в социально-демографических характеристиках пользователей в течени</w:t>
      </w:r>
      <w:r w:rsidR="00F157EF" w:rsidRPr="007E19FF">
        <w:rPr>
          <w:rFonts w:ascii="Times New Roman" w:hAnsi="Times New Roman" w:cs="Times New Roman"/>
          <w:sz w:val="30"/>
          <w:szCs w:val="30"/>
        </w:rPr>
        <w:t>е пяти лет не наблюдалось (рис.4</w:t>
      </w:r>
      <w:r w:rsidR="00C449CB" w:rsidRPr="007E19FF">
        <w:rPr>
          <w:rFonts w:ascii="Times New Roman" w:hAnsi="Times New Roman" w:cs="Times New Roman"/>
          <w:sz w:val="30"/>
          <w:szCs w:val="30"/>
        </w:rPr>
        <w:t xml:space="preserve">), </w:t>
      </w:r>
      <w:r w:rsidR="001A1FE4" w:rsidRPr="007E19FF">
        <w:rPr>
          <w:rFonts w:ascii="Times New Roman" w:hAnsi="Times New Roman" w:cs="Times New Roman"/>
          <w:sz w:val="30"/>
          <w:szCs w:val="30"/>
        </w:rPr>
        <w:t xml:space="preserve">однако </w:t>
      </w:r>
      <w:r w:rsidR="001D0F25" w:rsidRPr="007E19FF">
        <w:rPr>
          <w:rFonts w:ascii="Times New Roman" w:hAnsi="Times New Roman" w:cs="Times New Roman"/>
          <w:sz w:val="30"/>
          <w:szCs w:val="30"/>
        </w:rPr>
        <w:t>уменьш</w:t>
      </w:r>
      <w:r w:rsidR="001A1FE4" w:rsidRPr="007E19FF">
        <w:rPr>
          <w:rFonts w:ascii="Times New Roman" w:hAnsi="Times New Roman" w:cs="Times New Roman"/>
          <w:sz w:val="30"/>
          <w:szCs w:val="30"/>
        </w:rPr>
        <w:t>илось</w:t>
      </w:r>
      <w:r w:rsidR="00C449CB" w:rsidRPr="007E19FF">
        <w:rPr>
          <w:rFonts w:ascii="Times New Roman" w:hAnsi="Times New Roman" w:cs="Times New Roman"/>
          <w:sz w:val="30"/>
          <w:szCs w:val="30"/>
        </w:rPr>
        <w:t xml:space="preserve"> количество каждой их категории.</w:t>
      </w:r>
    </w:p>
    <w:p w:rsidR="002D6338" w:rsidRPr="007E19FF" w:rsidRDefault="002D6338" w:rsidP="001520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D6338" w:rsidRPr="007E19FF" w:rsidRDefault="003A2D1D" w:rsidP="00D77FD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7E19FF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4714875" cy="29337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D6338" w:rsidRPr="007E19FF" w:rsidRDefault="00F157EF" w:rsidP="005B3964">
      <w:pPr>
        <w:tabs>
          <w:tab w:val="left" w:pos="8670"/>
        </w:tabs>
        <w:jc w:val="center"/>
        <w:rPr>
          <w:rFonts w:ascii="Times New Roman" w:hAnsi="Times New Roman" w:cs="Times New Roman"/>
        </w:rPr>
      </w:pPr>
      <w:r w:rsidRPr="007E19FF">
        <w:rPr>
          <w:rFonts w:ascii="Times New Roman" w:hAnsi="Times New Roman" w:cs="Times New Roman"/>
        </w:rPr>
        <w:t>Рис. 4</w:t>
      </w:r>
      <w:r w:rsidR="001C7302" w:rsidRPr="007E19FF">
        <w:rPr>
          <w:rFonts w:ascii="Times New Roman" w:hAnsi="Times New Roman" w:cs="Times New Roman"/>
        </w:rPr>
        <w:t xml:space="preserve"> Состав пользователей ПЦПИ, 2016-2020</w:t>
      </w:r>
      <w:r w:rsidR="001A1FE4" w:rsidRPr="007E19FF">
        <w:rPr>
          <w:rFonts w:ascii="Times New Roman" w:hAnsi="Times New Roman" w:cs="Times New Roman"/>
        </w:rPr>
        <w:t xml:space="preserve"> гг.</w:t>
      </w:r>
    </w:p>
    <w:p w:rsidR="00342CFF" w:rsidRPr="007E19FF" w:rsidRDefault="00D913B1" w:rsidP="002140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E19FF">
        <w:rPr>
          <w:rFonts w:ascii="Times New Roman" w:hAnsi="Times New Roman" w:cs="Times New Roman"/>
          <w:sz w:val="30"/>
          <w:szCs w:val="30"/>
        </w:rPr>
        <w:t xml:space="preserve"> Так, наиболее существенное сокращение коснулось количества учащихся – на 41%, </w:t>
      </w:r>
      <w:r w:rsidR="00342CFF" w:rsidRPr="007E19FF">
        <w:rPr>
          <w:rFonts w:ascii="Times New Roman" w:hAnsi="Times New Roman" w:cs="Times New Roman"/>
          <w:sz w:val="30"/>
          <w:szCs w:val="30"/>
        </w:rPr>
        <w:t xml:space="preserve">численность пользователей из числа </w:t>
      </w:r>
      <w:r w:rsidRPr="007E19FF">
        <w:rPr>
          <w:rFonts w:ascii="Times New Roman" w:hAnsi="Times New Roman" w:cs="Times New Roman"/>
          <w:sz w:val="30"/>
          <w:szCs w:val="30"/>
        </w:rPr>
        <w:t xml:space="preserve">рабочих и </w:t>
      </w:r>
      <w:r w:rsidR="00342CFF" w:rsidRPr="007E19FF">
        <w:rPr>
          <w:rFonts w:ascii="Times New Roman" w:hAnsi="Times New Roman" w:cs="Times New Roman"/>
          <w:sz w:val="30"/>
          <w:szCs w:val="30"/>
        </w:rPr>
        <w:t>служащих</w:t>
      </w:r>
      <w:r w:rsidRPr="007E19FF">
        <w:rPr>
          <w:rFonts w:ascii="Times New Roman" w:hAnsi="Times New Roman" w:cs="Times New Roman"/>
          <w:sz w:val="30"/>
          <w:szCs w:val="30"/>
        </w:rPr>
        <w:t xml:space="preserve"> уменьшилась</w:t>
      </w:r>
      <w:r w:rsidR="00342CFF" w:rsidRPr="007E19FF">
        <w:rPr>
          <w:rFonts w:ascii="Times New Roman" w:hAnsi="Times New Roman" w:cs="Times New Roman"/>
          <w:sz w:val="30"/>
          <w:szCs w:val="30"/>
        </w:rPr>
        <w:t xml:space="preserve"> на 34%</w:t>
      </w:r>
      <w:r w:rsidRPr="007E19FF">
        <w:rPr>
          <w:rFonts w:ascii="Times New Roman" w:hAnsi="Times New Roman" w:cs="Times New Roman"/>
          <w:sz w:val="30"/>
          <w:szCs w:val="30"/>
        </w:rPr>
        <w:t xml:space="preserve"> каждая.</w:t>
      </w:r>
      <w:r w:rsidR="002140F0" w:rsidRPr="007E19FF">
        <w:rPr>
          <w:rFonts w:ascii="Times New Roman" w:hAnsi="Times New Roman" w:cs="Times New Roman"/>
          <w:sz w:val="30"/>
          <w:szCs w:val="30"/>
        </w:rPr>
        <w:t xml:space="preserve"> </w:t>
      </w:r>
      <w:r w:rsidR="001A1FE4" w:rsidRPr="007E19FF">
        <w:rPr>
          <w:rFonts w:ascii="Times New Roman" w:hAnsi="Times New Roman" w:cs="Times New Roman"/>
          <w:sz w:val="30"/>
          <w:szCs w:val="30"/>
        </w:rPr>
        <w:t>Надо сказать, данная</w:t>
      </w:r>
      <w:r w:rsidRPr="007E19FF">
        <w:rPr>
          <w:rFonts w:ascii="Times New Roman" w:hAnsi="Times New Roman" w:cs="Times New Roman"/>
          <w:sz w:val="30"/>
          <w:szCs w:val="30"/>
        </w:rPr>
        <w:t xml:space="preserve"> т</w:t>
      </w:r>
      <w:r w:rsidR="00342CFF" w:rsidRPr="007E19FF">
        <w:rPr>
          <w:rFonts w:ascii="Times New Roman" w:hAnsi="Times New Roman" w:cs="Times New Roman"/>
          <w:sz w:val="30"/>
          <w:szCs w:val="30"/>
        </w:rPr>
        <w:t xml:space="preserve">енденция наблюдается на протяжении </w:t>
      </w:r>
      <w:r w:rsidR="00474EDD" w:rsidRPr="007E19FF">
        <w:rPr>
          <w:rFonts w:ascii="Times New Roman" w:hAnsi="Times New Roman" w:cs="Times New Roman"/>
          <w:sz w:val="30"/>
          <w:szCs w:val="30"/>
        </w:rPr>
        <w:t xml:space="preserve">всего </w:t>
      </w:r>
      <w:r w:rsidR="00342CFF" w:rsidRPr="007E19FF">
        <w:rPr>
          <w:rFonts w:ascii="Times New Roman" w:hAnsi="Times New Roman" w:cs="Times New Roman"/>
          <w:sz w:val="30"/>
          <w:szCs w:val="30"/>
        </w:rPr>
        <w:t>последнего десятилетия.</w:t>
      </w:r>
    </w:p>
    <w:p w:rsidR="002D6338" w:rsidRPr="007E19FF" w:rsidRDefault="002140F0" w:rsidP="00D913B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19FF">
        <w:rPr>
          <w:rFonts w:ascii="Times New Roman" w:hAnsi="Times New Roman" w:cs="Times New Roman"/>
          <w:sz w:val="30"/>
          <w:szCs w:val="30"/>
        </w:rPr>
        <w:t>И е</w:t>
      </w:r>
      <w:r w:rsidR="00F603A1" w:rsidRPr="007E19FF">
        <w:rPr>
          <w:rFonts w:ascii="Times New Roman" w:hAnsi="Times New Roman" w:cs="Times New Roman"/>
          <w:sz w:val="30"/>
          <w:szCs w:val="30"/>
        </w:rPr>
        <w:t xml:space="preserve">сли </w:t>
      </w:r>
      <w:r w:rsidR="00FC6FA3" w:rsidRPr="007E19FF">
        <w:rPr>
          <w:rFonts w:ascii="Times New Roman" w:hAnsi="Times New Roman" w:cs="Times New Roman"/>
          <w:sz w:val="30"/>
          <w:szCs w:val="30"/>
        </w:rPr>
        <w:t>в предыдущие 5 лет</w:t>
      </w:r>
      <w:r w:rsidR="00F603A1" w:rsidRPr="007E19FF">
        <w:rPr>
          <w:rFonts w:ascii="Times New Roman" w:hAnsi="Times New Roman" w:cs="Times New Roman"/>
          <w:sz w:val="30"/>
          <w:szCs w:val="30"/>
        </w:rPr>
        <w:t xml:space="preserve"> был заметен рост числа пользователей из числа социально-незащищенных слоев населен</w:t>
      </w:r>
      <w:r w:rsidR="006610B5" w:rsidRPr="007E19FF">
        <w:rPr>
          <w:rFonts w:ascii="Times New Roman" w:hAnsi="Times New Roman" w:cs="Times New Roman"/>
          <w:sz w:val="30"/>
          <w:szCs w:val="30"/>
        </w:rPr>
        <w:t>ия – пенсионер</w:t>
      </w:r>
      <w:r w:rsidR="00FC6FA3" w:rsidRPr="007E19FF">
        <w:rPr>
          <w:rFonts w:ascii="Times New Roman" w:hAnsi="Times New Roman" w:cs="Times New Roman"/>
          <w:sz w:val="30"/>
          <w:szCs w:val="30"/>
        </w:rPr>
        <w:t>ов и безработных, то в последние</w:t>
      </w:r>
      <w:r w:rsidR="006610B5" w:rsidRPr="007E19FF">
        <w:rPr>
          <w:rFonts w:ascii="Times New Roman" w:hAnsi="Times New Roman" w:cs="Times New Roman"/>
          <w:sz w:val="30"/>
          <w:szCs w:val="30"/>
        </w:rPr>
        <w:t xml:space="preserve"> </w:t>
      </w:r>
      <w:r w:rsidRPr="007E19FF">
        <w:rPr>
          <w:rFonts w:ascii="Times New Roman" w:hAnsi="Times New Roman" w:cs="Times New Roman"/>
          <w:sz w:val="30"/>
          <w:szCs w:val="30"/>
        </w:rPr>
        <w:t xml:space="preserve">годы </w:t>
      </w:r>
      <w:r w:rsidR="006610B5" w:rsidRPr="007E19FF">
        <w:rPr>
          <w:rFonts w:ascii="Times New Roman" w:hAnsi="Times New Roman" w:cs="Times New Roman"/>
          <w:sz w:val="30"/>
          <w:szCs w:val="30"/>
        </w:rPr>
        <w:t xml:space="preserve">заметен отток и </w:t>
      </w:r>
      <w:r w:rsidRPr="007E19FF">
        <w:rPr>
          <w:rFonts w:ascii="Times New Roman" w:hAnsi="Times New Roman" w:cs="Times New Roman"/>
          <w:sz w:val="30"/>
          <w:szCs w:val="30"/>
        </w:rPr>
        <w:t xml:space="preserve">из </w:t>
      </w:r>
      <w:r w:rsidR="006610B5" w:rsidRPr="007E19FF">
        <w:rPr>
          <w:rFonts w:ascii="Times New Roman" w:hAnsi="Times New Roman" w:cs="Times New Roman"/>
          <w:sz w:val="30"/>
          <w:szCs w:val="30"/>
        </w:rPr>
        <w:t>этой категории.</w:t>
      </w:r>
      <w:r w:rsidR="00FE6FDB" w:rsidRPr="007E19F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A63CF" w:rsidRPr="007E19FF" w:rsidRDefault="00474EDD" w:rsidP="00BE72A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19FF">
        <w:rPr>
          <w:rFonts w:ascii="Times New Roman" w:hAnsi="Times New Roman" w:cs="Times New Roman"/>
          <w:sz w:val="30"/>
          <w:szCs w:val="30"/>
        </w:rPr>
        <w:t>По результатам мониторинга, н</w:t>
      </w:r>
      <w:r w:rsidR="00D913B1" w:rsidRPr="007E19FF">
        <w:rPr>
          <w:rFonts w:ascii="Times New Roman" w:hAnsi="Times New Roman" w:cs="Times New Roman"/>
          <w:sz w:val="30"/>
          <w:szCs w:val="30"/>
        </w:rPr>
        <w:t>а конец 2020 г. в</w:t>
      </w:r>
      <w:r w:rsidR="009A63CF" w:rsidRPr="007E19FF">
        <w:rPr>
          <w:rFonts w:ascii="Times New Roman" w:hAnsi="Times New Roman" w:cs="Times New Roman"/>
          <w:sz w:val="30"/>
          <w:szCs w:val="30"/>
        </w:rPr>
        <w:t xml:space="preserve"> 627 ПЦПИ работало 956 специалистов</w:t>
      </w:r>
      <w:r w:rsidR="005F4778" w:rsidRPr="007E19FF">
        <w:rPr>
          <w:rFonts w:ascii="Times New Roman" w:hAnsi="Times New Roman" w:cs="Times New Roman"/>
          <w:sz w:val="30"/>
          <w:szCs w:val="30"/>
        </w:rPr>
        <w:t>,</w:t>
      </w:r>
      <w:r w:rsidRPr="007E19FF">
        <w:rPr>
          <w:rFonts w:ascii="Times New Roman" w:hAnsi="Times New Roman" w:cs="Times New Roman"/>
          <w:sz w:val="30"/>
          <w:szCs w:val="30"/>
        </w:rPr>
        <w:t xml:space="preserve"> т.е.</w:t>
      </w:r>
      <w:r w:rsidR="005F4778" w:rsidRPr="007E19FF">
        <w:rPr>
          <w:rFonts w:ascii="Times New Roman" w:hAnsi="Times New Roman" w:cs="Times New Roman"/>
          <w:sz w:val="30"/>
          <w:szCs w:val="30"/>
        </w:rPr>
        <w:t xml:space="preserve"> в работе одного ПЦПИ в среднем задействовано 1-2 человека. </w:t>
      </w:r>
      <w:r w:rsidR="00D913B1" w:rsidRPr="007E19FF">
        <w:rPr>
          <w:rFonts w:ascii="Times New Roman" w:hAnsi="Times New Roman" w:cs="Times New Roman"/>
          <w:sz w:val="30"/>
          <w:szCs w:val="30"/>
        </w:rPr>
        <w:t>О</w:t>
      </w:r>
      <w:r w:rsidR="009A63CF" w:rsidRPr="007E19FF">
        <w:rPr>
          <w:rFonts w:ascii="Times New Roman" w:hAnsi="Times New Roman" w:cs="Times New Roman"/>
          <w:sz w:val="30"/>
          <w:szCs w:val="30"/>
        </w:rPr>
        <w:t xml:space="preserve">снова кадрового состава – штатные сотрудники (библиотекари и библиографы), большинство </w:t>
      </w:r>
      <w:r w:rsidR="00D913B1" w:rsidRPr="007E19FF">
        <w:rPr>
          <w:rFonts w:ascii="Times New Roman" w:hAnsi="Times New Roman" w:cs="Times New Roman"/>
          <w:sz w:val="30"/>
          <w:szCs w:val="30"/>
        </w:rPr>
        <w:t xml:space="preserve">из </w:t>
      </w:r>
      <w:r w:rsidR="009A63CF" w:rsidRPr="007E19FF">
        <w:rPr>
          <w:rFonts w:ascii="Times New Roman" w:hAnsi="Times New Roman" w:cs="Times New Roman"/>
          <w:sz w:val="30"/>
          <w:szCs w:val="30"/>
        </w:rPr>
        <w:t xml:space="preserve">которых – </w:t>
      </w:r>
      <w:r w:rsidR="00BE72A3" w:rsidRPr="007E19FF">
        <w:rPr>
          <w:rFonts w:ascii="Times New Roman" w:hAnsi="Times New Roman" w:cs="Times New Roman"/>
          <w:sz w:val="30"/>
          <w:szCs w:val="30"/>
        </w:rPr>
        <w:t xml:space="preserve">375 (39%) специалисты с высшим библиотечным образованием, </w:t>
      </w:r>
      <w:r w:rsidR="009A63CF" w:rsidRPr="007E19FF">
        <w:rPr>
          <w:rFonts w:ascii="Times New Roman" w:hAnsi="Times New Roman" w:cs="Times New Roman"/>
          <w:sz w:val="30"/>
          <w:szCs w:val="30"/>
        </w:rPr>
        <w:t xml:space="preserve">354 (37%) </w:t>
      </w:r>
      <w:r w:rsidR="00BE72A3" w:rsidRPr="007E19FF">
        <w:rPr>
          <w:rFonts w:ascii="Times New Roman" w:hAnsi="Times New Roman" w:cs="Times New Roman"/>
          <w:sz w:val="30"/>
          <w:szCs w:val="30"/>
        </w:rPr>
        <w:t xml:space="preserve">– </w:t>
      </w:r>
      <w:r w:rsidR="009A63CF" w:rsidRPr="007E19FF">
        <w:rPr>
          <w:rFonts w:ascii="Times New Roman" w:hAnsi="Times New Roman" w:cs="Times New Roman"/>
          <w:sz w:val="30"/>
          <w:szCs w:val="30"/>
        </w:rPr>
        <w:t>со средним специальным образованием,</w:t>
      </w:r>
      <w:r w:rsidR="00BE72A3" w:rsidRPr="007E19FF">
        <w:rPr>
          <w:rFonts w:ascii="Times New Roman" w:hAnsi="Times New Roman" w:cs="Times New Roman"/>
          <w:sz w:val="30"/>
          <w:szCs w:val="30"/>
        </w:rPr>
        <w:t xml:space="preserve"> </w:t>
      </w:r>
      <w:r w:rsidR="001C7302" w:rsidRPr="007E19FF">
        <w:rPr>
          <w:rFonts w:ascii="Times New Roman" w:hAnsi="Times New Roman" w:cs="Times New Roman"/>
          <w:sz w:val="30"/>
          <w:szCs w:val="30"/>
        </w:rPr>
        <w:t>24</w:t>
      </w:r>
      <w:r w:rsidR="009A63CF" w:rsidRPr="007E19FF">
        <w:rPr>
          <w:rFonts w:ascii="Times New Roman" w:hAnsi="Times New Roman" w:cs="Times New Roman"/>
          <w:sz w:val="30"/>
          <w:szCs w:val="30"/>
        </w:rPr>
        <w:t xml:space="preserve">% сотрудников не имеют </w:t>
      </w:r>
      <w:r w:rsidR="00D913B1" w:rsidRPr="007E19FF">
        <w:rPr>
          <w:rFonts w:ascii="Times New Roman" w:hAnsi="Times New Roman" w:cs="Times New Roman"/>
          <w:sz w:val="30"/>
          <w:szCs w:val="30"/>
        </w:rPr>
        <w:t>специального образования (рис. 5</w:t>
      </w:r>
      <w:r w:rsidR="009A63CF" w:rsidRPr="007E19FF">
        <w:rPr>
          <w:rFonts w:ascii="Times New Roman" w:hAnsi="Times New Roman" w:cs="Times New Roman"/>
          <w:sz w:val="30"/>
          <w:szCs w:val="30"/>
        </w:rPr>
        <w:t>).</w:t>
      </w:r>
    </w:p>
    <w:p w:rsidR="0052749F" w:rsidRPr="007E19FF" w:rsidRDefault="005B3964" w:rsidP="006610B5">
      <w:pPr>
        <w:jc w:val="both"/>
        <w:rPr>
          <w:rFonts w:ascii="Times New Roman" w:hAnsi="Times New Roman" w:cs="Times New Roman"/>
          <w:sz w:val="30"/>
          <w:szCs w:val="30"/>
        </w:rPr>
      </w:pPr>
      <w:r w:rsidRPr="007E19FF">
        <w:rPr>
          <w:rFonts w:ascii="Times New Roman" w:hAnsi="Times New Roman" w:cs="Times New Roman"/>
          <w:sz w:val="30"/>
          <w:szCs w:val="30"/>
        </w:rPr>
        <w:lastRenderedPageBreak/>
        <w:tab/>
      </w:r>
      <w:r w:rsidR="00C87A29" w:rsidRPr="007E19FF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4686300" cy="2354580"/>
            <wp:effectExtent l="0" t="0" r="0" b="762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33403" w:rsidRPr="007E19FF" w:rsidRDefault="00D913B1" w:rsidP="00D913B1">
      <w:pPr>
        <w:tabs>
          <w:tab w:val="left" w:pos="3540"/>
        </w:tabs>
        <w:jc w:val="center"/>
        <w:rPr>
          <w:rFonts w:ascii="Times New Roman" w:hAnsi="Times New Roman" w:cs="Times New Roman"/>
        </w:rPr>
      </w:pPr>
      <w:r w:rsidRPr="007E19FF">
        <w:rPr>
          <w:rFonts w:ascii="Times New Roman" w:hAnsi="Times New Roman" w:cs="Times New Roman"/>
        </w:rPr>
        <w:t xml:space="preserve">Рис. 5 </w:t>
      </w:r>
      <w:r w:rsidR="0052749F" w:rsidRPr="007E19FF">
        <w:rPr>
          <w:rFonts w:ascii="Times New Roman" w:hAnsi="Times New Roman" w:cs="Times New Roman"/>
        </w:rPr>
        <w:t>Образование сотрудников ПЦПИ, 2020 г.</w:t>
      </w:r>
    </w:p>
    <w:p w:rsidR="00D33403" w:rsidRPr="007E19FF" w:rsidRDefault="00D33403" w:rsidP="00917F19">
      <w:pPr>
        <w:tabs>
          <w:tab w:val="left" w:pos="567"/>
          <w:tab w:val="left" w:pos="3540"/>
        </w:tabs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E19FF">
        <w:rPr>
          <w:rFonts w:ascii="Times New Roman" w:hAnsi="Times New Roman" w:cs="Times New Roman"/>
          <w:sz w:val="30"/>
          <w:szCs w:val="30"/>
        </w:rPr>
        <w:t xml:space="preserve">Уровень материально-технической оснащенности всех центров правовой информации достаточно высок: все они компьютеризированы, </w:t>
      </w:r>
      <w:r w:rsidR="0004271E" w:rsidRPr="007E19FF">
        <w:rPr>
          <w:rFonts w:ascii="Times New Roman" w:hAnsi="Times New Roman" w:cs="Times New Roman"/>
          <w:sz w:val="30"/>
          <w:szCs w:val="30"/>
        </w:rPr>
        <w:t xml:space="preserve">большинство имеют в своем распоряжении все необходимое периферийное оборудование. </w:t>
      </w:r>
      <w:r w:rsidR="00917F19" w:rsidRPr="007E19FF">
        <w:rPr>
          <w:rFonts w:ascii="Times New Roman" w:hAnsi="Times New Roman" w:cs="Times New Roman"/>
          <w:sz w:val="30"/>
          <w:szCs w:val="30"/>
        </w:rPr>
        <w:t xml:space="preserve"> </w:t>
      </w:r>
      <w:r w:rsidRPr="007E19FF">
        <w:rPr>
          <w:rFonts w:ascii="Times New Roman" w:hAnsi="Times New Roman" w:cs="Times New Roman"/>
          <w:sz w:val="30"/>
          <w:szCs w:val="30"/>
        </w:rPr>
        <w:t>В среднем на один ПЦПИ</w:t>
      </w:r>
      <w:r w:rsidR="0027727E" w:rsidRPr="007E19FF">
        <w:rPr>
          <w:rFonts w:ascii="Times New Roman" w:hAnsi="Times New Roman" w:cs="Times New Roman"/>
          <w:sz w:val="30"/>
          <w:szCs w:val="30"/>
        </w:rPr>
        <w:t>,</w:t>
      </w:r>
      <w:r w:rsidRPr="007E19FF">
        <w:rPr>
          <w:rFonts w:ascii="Times New Roman" w:hAnsi="Times New Roman" w:cs="Times New Roman"/>
          <w:sz w:val="30"/>
          <w:szCs w:val="30"/>
        </w:rPr>
        <w:t xml:space="preserve"> как и в прошлую пятилетку</w:t>
      </w:r>
      <w:r w:rsidR="0027727E" w:rsidRPr="007E19FF">
        <w:rPr>
          <w:rFonts w:ascii="Times New Roman" w:hAnsi="Times New Roman" w:cs="Times New Roman"/>
          <w:sz w:val="30"/>
          <w:szCs w:val="30"/>
        </w:rPr>
        <w:t>,</w:t>
      </w:r>
      <w:r w:rsidRPr="007E19FF">
        <w:rPr>
          <w:rFonts w:ascii="Times New Roman" w:hAnsi="Times New Roman" w:cs="Times New Roman"/>
          <w:sz w:val="30"/>
          <w:szCs w:val="30"/>
        </w:rPr>
        <w:t xml:space="preserve"> приходится 1 компью</w:t>
      </w:r>
      <w:r w:rsidR="0027727E" w:rsidRPr="007E19FF">
        <w:rPr>
          <w:rFonts w:ascii="Times New Roman" w:hAnsi="Times New Roman" w:cs="Times New Roman"/>
          <w:sz w:val="30"/>
          <w:szCs w:val="30"/>
        </w:rPr>
        <w:t>тер, доступ к Интернету имеют 99% ПЦПИ (2015</w:t>
      </w:r>
      <w:r w:rsidR="004C32E2" w:rsidRPr="007E19FF">
        <w:rPr>
          <w:rFonts w:ascii="Times New Roman" w:hAnsi="Times New Roman" w:cs="Times New Roman"/>
          <w:sz w:val="30"/>
          <w:szCs w:val="30"/>
        </w:rPr>
        <w:t xml:space="preserve"> </w:t>
      </w:r>
      <w:r w:rsidR="0027727E" w:rsidRPr="007E19FF">
        <w:rPr>
          <w:rFonts w:ascii="Times New Roman" w:hAnsi="Times New Roman" w:cs="Times New Roman"/>
          <w:sz w:val="30"/>
          <w:szCs w:val="30"/>
        </w:rPr>
        <w:t>г. – 96%), э</w:t>
      </w:r>
      <w:r w:rsidR="0064277A" w:rsidRPr="007E19FF">
        <w:rPr>
          <w:rFonts w:ascii="Times New Roman" w:hAnsi="Times New Roman" w:cs="Times New Roman"/>
          <w:sz w:val="30"/>
          <w:szCs w:val="30"/>
        </w:rPr>
        <w:t xml:space="preserve">лектронную почту – 92% (2015 г. – </w:t>
      </w:r>
      <w:r w:rsidRPr="007E19FF">
        <w:rPr>
          <w:rFonts w:ascii="Times New Roman" w:hAnsi="Times New Roman" w:cs="Times New Roman"/>
          <w:sz w:val="30"/>
          <w:szCs w:val="30"/>
        </w:rPr>
        <w:t>8</w:t>
      </w:r>
      <w:r w:rsidR="0027727E" w:rsidRPr="007E19FF">
        <w:rPr>
          <w:rFonts w:ascii="Times New Roman" w:hAnsi="Times New Roman" w:cs="Times New Roman"/>
          <w:sz w:val="30"/>
          <w:szCs w:val="30"/>
        </w:rPr>
        <w:t>3</w:t>
      </w:r>
      <w:r w:rsidRPr="007E19FF">
        <w:rPr>
          <w:rFonts w:ascii="Times New Roman" w:hAnsi="Times New Roman" w:cs="Times New Roman"/>
          <w:sz w:val="30"/>
          <w:szCs w:val="30"/>
        </w:rPr>
        <w:t>%).</w:t>
      </w:r>
    </w:p>
    <w:p w:rsidR="00F625D8" w:rsidRPr="007E19FF" w:rsidRDefault="00F625D8" w:rsidP="00F625D8">
      <w:pPr>
        <w:tabs>
          <w:tab w:val="left" w:pos="2925"/>
        </w:tabs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E19FF">
        <w:rPr>
          <w:rFonts w:ascii="Times New Roman" w:hAnsi="Times New Roman" w:cs="Times New Roman"/>
          <w:sz w:val="30"/>
          <w:szCs w:val="30"/>
        </w:rPr>
        <w:t xml:space="preserve">Для популяризации правовых ресурсов и услуг ПЦПИ, воспитания правовой культуры населения сотрудниками </w:t>
      </w:r>
      <w:r w:rsidR="006114CB" w:rsidRPr="007E19FF">
        <w:rPr>
          <w:rFonts w:ascii="Times New Roman" w:hAnsi="Times New Roman" w:cs="Times New Roman"/>
          <w:sz w:val="30"/>
          <w:szCs w:val="30"/>
        </w:rPr>
        <w:t>центров</w:t>
      </w:r>
      <w:r w:rsidRPr="007E19FF">
        <w:rPr>
          <w:rFonts w:ascii="Times New Roman" w:hAnsi="Times New Roman" w:cs="Times New Roman"/>
          <w:sz w:val="30"/>
          <w:szCs w:val="30"/>
        </w:rPr>
        <w:t xml:space="preserve"> используются разнообразные формы библиотечной работы: открытые диалоги, диспуты, круглые столы, правовые уроки, дни профилактики правонарушений, интеллектуально-правовые игры, турниры, ситуативные практикумы, книжные выставки и другие формы работы. </w:t>
      </w:r>
      <w:r w:rsidR="006114CB" w:rsidRPr="007E19FF">
        <w:rPr>
          <w:rFonts w:ascii="Times New Roman" w:hAnsi="Times New Roman" w:cs="Times New Roman"/>
          <w:sz w:val="30"/>
          <w:szCs w:val="30"/>
        </w:rPr>
        <w:t>Уже т</w:t>
      </w:r>
      <w:r w:rsidRPr="007E19FF">
        <w:rPr>
          <w:rFonts w:ascii="Times New Roman" w:hAnsi="Times New Roman" w:cs="Times New Roman"/>
          <w:sz w:val="30"/>
          <w:szCs w:val="30"/>
        </w:rPr>
        <w:t xml:space="preserve">радиционным для многих ПЦПИ стало проведение Дней правовой культуры, недель и декад правовых знаний, месячников по профилактике правонарушений. </w:t>
      </w:r>
    </w:p>
    <w:p w:rsidR="00F625D8" w:rsidRPr="007E19FF" w:rsidRDefault="00F625D8" w:rsidP="00F625D8">
      <w:pPr>
        <w:tabs>
          <w:tab w:val="left" w:pos="2925"/>
        </w:tabs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E19FF">
        <w:rPr>
          <w:rFonts w:ascii="Times New Roman" w:hAnsi="Times New Roman" w:cs="Times New Roman"/>
          <w:sz w:val="30"/>
          <w:szCs w:val="30"/>
        </w:rPr>
        <w:t xml:space="preserve">В отдельных </w:t>
      </w:r>
      <w:r w:rsidR="006114CB" w:rsidRPr="007E19FF">
        <w:rPr>
          <w:rFonts w:ascii="Times New Roman" w:hAnsi="Times New Roman" w:cs="Times New Roman"/>
          <w:sz w:val="30"/>
          <w:szCs w:val="30"/>
        </w:rPr>
        <w:t xml:space="preserve">публичных центрах правовой информации </w:t>
      </w:r>
      <w:r w:rsidRPr="007E19FF">
        <w:rPr>
          <w:rFonts w:ascii="Times New Roman" w:hAnsi="Times New Roman" w:cs="Times New Roman"/>
          <w:sz w:val="30"/>
          <w:szCs w:val="30"/>
        </w:rPr>
        <w:t>республики работа с населением ведется в рамках целевых библиотечных программ и проектов, которые в большинстве своем посвящены правовому воспитанию подростков и молодежи. В таких мероприятиях задействованы работники прокуратуры, правоохранительных органов, сотрудники управления по труду, занятости и социальной защите населения и др.</w:t>
      </w:r>
    </w:p>
    <w:p w:rsidR="009543C5" w:rsidRPr="007E19FF" w:rsidRDefault="00B246B4" w:rsidP="00D33403">
      <w:pPr>
        <w:tabs>
          <w:tab w:val="left" w:pos="3540"/>
        </w:tabs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E19FF">
        <w:rPr>
          <w:rFonts w:ascii="Times New Roman" w:hAnsi="Times New Roman" w:cs="Times New Roman"/>
          <w:sz w:val="30"/>
          <w:szCs w:val="30"/>
        </w:rPr>
        <w:t>В</w:t>
      </w:r>
      <w:r w:rsidR="001A3BB8" w:rsidRPr="007E19FF">
        <w:rPr>
          <w:rFonts w:ascii="Times New Roman" w:hAnsi="Times New Roman" w:cs="Times New Roman"/>
          <w:sz w:val="30"/>
          <w:szCs w:val="30"/>
        </w:rPr>
        <w:t xml:space="preserve"> 2020 г. в ПЦПИ республики было организовано и проведено 2 941 мероприятие, участниками которых стали свыше 43</w:t>
      </w:r>
      <w:r w:rsidR="00872F36" w:rsidRPr="007E19FF">
        <w:rPr>
          <w:rFonts w:ascii="Times New Roman" w:hAnsi="Times New Roman" w:cs="Times New Roman"/>
          <w:sz w:val="30"/>
          <w:szCs w:val="30"/>
        </w:rPr>
        <w:t xml:space="preserve"> тыс. человек, что составляет 86</w:t>
      </w:r>
      <w:r w:rsidR="001A3BB8" w:rsidRPr="007E19FF">
        <w:rPr>
          <w:rFonts w:ascii="Times New Roman" w:hAnsi="Times New Roman" w:cs="Times New Roman"/>
          <w:sz w:val="30"/>
          <w:szCs w:val="30"/>
        </w:rPr>
        <w:t>% от общего числа пользователей за год. В</w:t>
      </w:r>
      <w:r w:rsidR="00872F36" w:rsidRPr="007E19FF">
        <w:rPr>
          <w:rFonts w:ascii="Times New Roman" w:hAnsi="Times New Roman" w:cs="Times New Roman"/>
          <w:sz w:val="30"/>
          <w:szCs w:val="30"/>
        </w:rPr>
        <w:t xml:space="preserve"> 2015</w:t>
      </w:r>
      <w:r w:rsidR="00BA55F1" w:rsidRPr="007E19FF">
        <w:rPr>
          <w:rFonts w:ascii="Times New Roman" w:hAnsi="Times New Roman" w:cs="Times New Roman"/>
          <w:sz w:val="30"/>
          <w:szCs w:val="30"/>
        </w:rPr>
        <w:t xml:space="preserve"> </w:t>
      </w:r>
      <w:r w:rsidR="001A3BB8" w:rsidRPr="007E19FF">
        <w:rPr>
          <w:rFonts w:ascii="Times New Roman" w:hAnsi="Times New Roman" w:cs="Times New Roman"/>
          <w:sz w:val="30"/>
          <w:szCs w:val="30"/>
        </w:rPr>
        <w:t xml:space="preserve">г. было </w:t>
      </w:r>
      <w:r w:rsidR="001A3BB8" w:rsidRPr="007E19FF">
        <w:rPr>
          <w:rFonts w:ascii="Times New Roman" w:hAnsi="Times New Roman" w:cs="Times New Roman"/>
          <w:sz w:val="30"/>
          <w:szCs w:val="30"/>
        </w:rPr>
        <w:lastRenderedPageBreak/>
        <w:t xml:space="preserve">проведено </w:t>
      </w:r>
      <w:r w:rsidR="00872F36" w:rsidRPr="007E19FF">
        <w:rPr>
          <w:rFonts w:ascii="Times New Roman" w:hAnsi="Times New Roman" w:cs="Times New Roman"/>
          <w:sz w:val="30"/>
          <w:szCs w:val="30"/>
        </w:rPr>
        <w:t>2 57</w:t>
      </w:r>
      <w:r w:rsidR="00BA55F1" w:rsidRPr="007E19FF">
        <w:rPr>
          <w:rFonts w:ascii="Times New Roman" w:hAnsi="Times New Roman" w:cs="Times New Roman"/>
          <w:sz w:val="30"/>
          <w:szCs w:val="30"/>
        </w:rPr>
        <w:t>6 мероприятий, в которых приняло</w:t>
      </w:r>
      <w:r w:rsidR="00872F36" w:rsidRPr="007E19FF">
        <w:rPr>
          <w:rFonts w:ascii="Times New Roman" w:hAnsi="Times New Roman" w:cs="Times New Roman"/>
          <w:sz w:val="30"/>
          <w:szCs w:val="30"/>
        </w:rPr>
        <w:t xml:space="preserve"> участие 66</w:t>
      </w:r>
      <w:r w:rsidR="001A3BB8" w:rsidRPr="007E19FF">
        <w:rPr>
          <w:rFonts w:ascii="Times New Roman" w:hAnsi="Times New Roman" w:cs="Times New Roman"/>
          <w:sz w:val="30"/>
          <w:szCs w:val="30"/>
        </w:rPr>
        <w:t>% пользователей (рис.6).</w:t>
      </w:r>
    </w:p>
    <w:p w:rsidR="00F03668" w:rsidRPr="007E19FF" w:rsidRDefault="00F03668" w:rsidP="00D33403">
      <w:pPr>
        <w:tabs>
          <w:tab w:val="left" w:pos="35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C24" w:rsidRPr="007E19FF" w:rsidRDefault="00E11B90" w:rsidP="00BA55F1">
      <w:pPr>
        <w:tabs>
          <w:tab w:val="left" w:pos="3540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E19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95800" cy="2468880"/>
            <wp:effectExtent l="0" t="0" r="0" b="76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11B90" w:rsidRPr="007E19FF" w:rsidRDefault="00535C24" w:rsidP="00AB3D4D">
      <w:pPr>
        <w:tabs>
          <w:tab w:val="left" w:pos="3540"/>
        </w:tabs>
        <w:jc w:val="center"/>
        <w:rPr>
          <w:rFonts w:ascii="Times New Roman" w:hAnsi="Times New Roman" w:cs="Times New Roman"/>
        </w:rPr>
      </w:pPr>
      <w:r w:rsidRPr="007E19FF">
        <w:rPr>
          <w:rFonts w:ascii="Times New Roman" w:hAnsi="Times New Roman" w:cs="Times New Roman"/>
        </w:rPr>
        <w:t>Рис. 6 Количество мероп</w:t>
      </w:r>
      <w:r w:rsidR="006114CB" w:rsidRPr="007E19FF">
        <w:rPr>
          <w:rFonts w:ascii="Times New Roman" w:hAnsi="Times New Roman" w:cs="Times New Roman"/>
        </w:rPr>
        <w:t>риятий, проведенных в ПЦПИ, 2015</w:t>
      </w:r>
      <w:r w:rsidRPr="007E19FF">
        <w:rPr>
          <w:rFonts w:ascii="Times New Roman" w:hAnsi="Times New Roman" w:cs="Times New Roman"/>
        </w:rPr>
        <w:t>-2020 гг.</w:t>
      </w:r>
    </w:p>
    <w:p w:rsidR="00882EC9" w:rsidRPr="007E19FF" w:rsidRDefault="009203EF" w:rsidP="009203EF">
      <w:pPr>
        <w:tabs>
          <w:tab w:val="left" w:pos="2925"/>
        </w:tabs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E19FF">
        <w:rPr>
          <w:rFonts w:ascii="Times New Roman" w:hAnsi="Times New Roman" w:cs="Times New Roman"/>
          <w:sz w:val="30"/>
          <w:szCs w:val="30"/>
        </w:rPr>
        <w:t>По-прежнему популярными у всех без исключения ПЦПИ остаются информационные и тематические книжные выставки, направлен</w:t>
      </w:r>
      <w:r w:rsidR="006114CB" w:rsidRPr="007E19FF">
        <w:rPr>
          <w:rFonts w:ascii="Times New Roman" w:hAnsi="Times New Roman" w:cs="Times New Roman"/>
          <w:sz w:val="30"/>
          <w:szCs w:val="30"/>
        </w:rPr>
        <w:t>н</w:t>
      </w:r>
      <w:r w:rsidRPr="007E19FF">
        <w:rPr>
          <w:rFonts w:ascii="Times New Roman" w:hAnsi="Times New Roman" w:cs="Times New Roman"/>
          <w:sz w:val="30"/>
          <w:szCs w:val="30"/>
        </w:rPr>
        <w:t>ы</w:t>
      </w:r>
      <w:r w:rsidR="006114CB" w:rsidRPr="007E19FF">
        <w:rPr>
          <w:rFonts w:ascii="Times New Roman" w:hAnsi="Times New Roman" w:cs="Times New Roman"/>
          <w:sz w:val="30"/>
          <w:szCs w:val="30"/>
        </w:rPr>
        <w:t>е</w:t>
      </w:r>
      <w:r w:rsidRPr="007E19FF">
        <w:rPr>
          <w:rFonts w:ascii="Times New Roman" w:hAnsi="Times New Roman" w:cs="Times New Roman"/>
          <w:sz w:val="30"/>
          <w:szCs w:val="30"/>
        </w:rPr>
        <w:t xml:space="preserve"> на информирование населения в сфере законодательства и права</w:t>
      </w:r>
      <w:r w:rsidR="00B246B4" w:rsidRPr="007E19FF">
        <w:rPr>
          <w:rFonts w:ascii="Times New Roman" w:hAnsi="Times New Roman" w:cs="Times New Roman"/>
          <w:sz w:val="30"/>
          <w:szCs w:val="30"/>
        </w:rPr>
        <w:t xml:space="preserve">, </w:t>
      </w:r>
      <w:r w:rsidR="006114CB" w:rsidRPr="007E19FF">
        <w:rPr>
          <w:rFonts w:ascii="Times New Roman" w:hAnsi="Times New Roman" w:cs="Times New Roman"/>
          <w:sz w:val="30"/>
          <w:szCs w:val="30"/>
        </w:rPr>
        <w:t>позволяющие</w:t>
      </w:r>
      <w:r w:rsidRPr="007E19FF">
        <w:rPr>
          <w:rFonts w:ascii="Times New Roman" w:hAnsi="Times New Roman" w:cs="Times New Roman"/>
          <w:sz w:val="30"/>
          <w:szCs w:val="30"/>
        </w:rPr>
        <w:t xml:space="preserve"> раскрыть фонд ПЦПИ. Выставка </w:t>
      </w:r>
      <w:r w:rsidR="006114CB" w:rsidRPr="007E19FF">
        <w:rPr>
          <w:rFonts w:ascii="Times New Roman" w:hAnsi="Times New Roman" w:cs="Times New Roman"/>
          <w:sz w:val="30"/>
          <w:szCs w:val="30"/>
        </w:rPr>
        <w:t>дает возможность</w:t>
      </w:r>
      <w:r w:rsidRPr="007E19FF">
        <w:rPr>
          <w:rFonts w:ascii="Times New Roman" w:hAnsi="Times New Roman" w:cs="Times New Roman"/>
          <w:sz w:val="30"/>
          <w:szCs w:val="30"/>
        </w:rPr>
        <w:t xml:space="preserve"> сосредоточить внимание граждан на актуальной правовой информации, сориентированной в пределах определенного вида законодательства. Благодаря тому, что организовать выставку можно и за пределами правового центра, круг охвата населения </w:t>
      </w:r>
      <w:r w:rsidR="002140F0" w:rsidRPr="007E19FF">
        <w:rPr>
          <w:rFonts w:ascii="Times New Roman" w:hAnsi="Times New Roman" w:cs="Times New Roman"/>
          <w:sz w:val="30"/>
          <w:szCs w:val="30"/>
        </w:rPr>
        <w:t xml:space="preserve">данной формой </w:t>
      </w:r>
      <w:r w:rsidR="00867EEB" w:rsidRPr="007E19FF">
        <w:rPr>
          <w:rFonts w:ascii="Times New Roman" w:hAnsi="Times New Roman" w:cs="Times New Roman"/>
          <w:sz w:val="30"/>
          <w:szCs w:val="30"/>
        </w:rPr>
        <w:t xml:space="preserve">обслуживания </w:t>
      </w:r>
      <w:r w:rsidRPr="007E19FF">
        <w:rPr>
          <w:rFonts w:ascii="Times New Roman" w:hAnsi="Times New Roman" w:cs="Times New Roman"/>
          <w:sz w:val="30"/>
          <w:szCs w:val="30"/>
        </w:rPr>
        <w:t>существенно расширяется.</w:t>
      </w:r>
    </w:p>
    <w:p w:rsidR="009203EF" w:rsidRPr="007E19FF" w:rsidRDefault="006114CB" w:rsidP="009203EF">
      <w:pPr>
        <w:tabs>
          <w:tab w:val="left" w:pos="2925"/>
        </w:tabs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E19FF">
        <w:rPr>
          <w:rFonts w:ascii="Times New Roman" w:hAnsi="Times New Roman" w:cs="Times New Roman"/>
          <w:sz w:val="30"/>
          <w:szCs w:val="30"/>
        </w:rPr>
        <w:t>Их т</w:t>
      </w:r>
      <w:r w:rsidR="00853177" w:rsidRPr="007E19FF">
        <w:rPr>
          <w:rFonts w:ascii="Times New Roman" w:hAnsi="Times New Roman" w:cs="Times New Roman"/>
          <w:sz w:val="30"/>
          <w:szCs w:val="30"/>
        </w:rPr>
        <w:t>ематика довольно разнообразная</w:t>
      </w:r>
      <w:r w:rsidR="003C67E7" w:rsidRPr="007E19FF">
        <w:rPr>
          <w:rFonts w:ascii="Times New Roman" w:hAnsi="Times New Roman" w:cs="Times New Roman"/>
          <w:sz w:val="30"/>
          <w:szCs w:val="30"/>
        </w:rPr>
        <w:t>: «</w:t>
      </w:r>
      <w:proofErr w:type="spellStart"/>
      <w:r w:rsidR="003C67E7" w:rsidRPr="007E19FF">
        <w:rPr>
          <w:rFonts w:ascii="Times New Roman" w:hAnsi="Times New Roman" w:cs="Times New Roman"/>
          <w:sz w:val="30"/>
          <w:szCs w:val="30"/>
        </w:rPr>
        <w:t>Галоўны</w:t>
      </w:r>
      <w:proofErr w:type="spellEnd"/>
      <w:r w:rsidR="003C67E7" w:rsidRPr="007E19FF">
        <w:rPr>
          <w:rFonts w:ascii="Times New Roman" w:hAnsi="Times New Roman" w:cs="Times New Roman"/>
          <w:sz w:val="30"/>
          <w:szCs w:val="30"/>
        </w:rPr>
        <w:t xml:space="preserve"> закон – </w:t>
      </w:r>
      <w:proofErr w:type="spellStart"/>
      <w:r w:rsidR="003C67E7" w:rsidRPr="007E19FF">
        <w:rPr>
          <w:rFonts w:ascii="Times New Roman" w:hAnsi="Times New Roman" w:cs="Times New Roman"/>
          <w:sz w:val="30"/>
          <w:szCs w:val="30"/>
        </w:rPr>
        <w:t>Канстытуцыя</w:t>
      </w:r>
      <w:proofErr w:type="spellEnd"/>
      <w:r w:rsidR="003C67E7" w:rsidRPr="007E19FF">
        <w:rPr>
          <w:rFonts w:ascii="Times New Roman" w:hAnsi="Times New Roman" w:cs="Times New Roman"/>
          <w:sz w:val="30"/>
          <w:szCs w:val="30"/>
        </w:rPr>
        <w:t>», «</w:t>
      </w:r>
      <w:r w:rsidR="00D5198D" w:rsidRPr="007E19FF">
        <w:rPr>
          <w:rFonts w:ascii="Times New Roman" w:hAnsi="Times New Roman" w:cs="Times New Roman"/>
          <w:sz w:val="30"/>
          <w:szCs w:val="30"/>
        </w:rPr>
        <w:t>Нет – насилию в семье</w:t>
      </w:r>
      <w:r w:rsidR="001C65F1" w:rsidRPr="007E19FF">
        <w:rPr>
          <w:rFonts w:ascii="Times New Roman" w:hAnsi="Times New Roman" w:cs="Times New Roman"/>
          <w:sz w:val="30"/>
          <w:szCs w:val="30"/>
        </w:rPr>
        <w:t xml:space="preserve">», «Твои права», </w:t>
      </w:r>
      <w:r w:rsidR="00B13E09" w:rsidRPr="007E19FF">
        <w:rPr>
          <w:rFonts w:ascii="Times New Roman" w:hAnsi="Times New Roman" w:cs="Times New Roman"/>
          <w:sz w:val="30"/>
          <w:szCs w:val="30"/>
        </w:rPr>
        <w:t>«Выборы: права и обязанности»,</w:t>
      </w:r>
      <w:r w:rsidR="002F153C" w:rsidRPr="007E19FF">
        <w:rPr>
          <w:rFonts w:ascii="Times New Roman" w:hAnsi="Times New Roman" w:cs="Times New Roman"/>
          <w:sz w:val="30"/>
          <w:szCs w:val="30"/>
        </w:rPr>
        <w:t xml:space="preserve"> «Закон и правонарушения», «Беларусь: прошлое, настоящее, будущее», «Права человека – твои права», </w:t>
      </w:r>
      <w:r w:rsidR="00211E06" w:rsidRPr="007E19FF">
        <w:rPr>
          <w:rFonts w:ascii="Times New Roman" w:hAnsi="Times New Roman" w:cs="Times New Roman"/>
          <w:sz w:val="30"/>
          <w:szCs w:val="30"/>
        </w:rPr>
        <w:t>«Детство под защитой закона»</w:t>
      </w:r>
      <w:r w:rsidR="00A7666B" w:rsidRPr="007E19FF">
        <w:rPr>
          <w:rFonts w:ascii="Times New Roman" w:hAnsi="Times New Roman" w:cs="Times New Roman"/>
          <w:sz w:val="30"/>
          <w:szCs w:val="30"/>
        </w:rPr>
        <w:t xml:space="preserve"> и т.д.</w:t>
      </w:r>
    </w:p>
    <w:p w:rsidR="00A7666B" w:rsidRPr="007E19FF" w:rsidRDefault="007A0865" w:rsidP="00FF3686">
      <w:pPr>
        <w:tabs>
          <w:tab w:val="left" w:pos="2925"/>
        </w:tabs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E19FF">
        <w:rPr>
          <w:rFonts w:ascii="Times New Roman" w:hAnsi="Times New Roman" w:cs="Times New Roman"/>
          <w:sz w:val="30"/>
          <w:szCs w:val="30"/>
        </w:rPr>
        <w:t>При</w:t>
      </w:r>
      <w:r w:rsidR="00B246B4" w:rsidRPr="007E19FF">
        <w:rPr>
          <w:rFonts w:ascii="Times New Roman" w:hAnsi="Times New Roman" w:cs="Times New Roman"/>
          <w:sz w:val="30"/>
          <w:szCs w:val="30"/>
        </w:rPr>
        <w:t xml:space="preserve"> многих</w:t>
      </w:r>
      <w:r w:rsidRPr="007E19FF">
        <w:rPr>
          <w:rFonts w:ascii="Times New Roman" w:hAnsi="Times New Roman" w:cs="Times New Roman"/>
          <w:sz w:val="30"/>
          <w:szCs w:val="30"/>
        </w:rPr>
        <w:t xml:space="preserve"> ПЦПИ </w:t>
      </w:r>
      <w:r w:rsidR="00B246B4" w:rsidRPr="007E19FF">
        <w:rPr>
          <w:rFonts w:ascii="Times New Roman" w:hAnsi="Times New Roman" w:cs="Times New Roman"/>
          <w:sz w:val="30"/>
          <w:szCs w:val="30"/>
        </w:rPr>
        <w:t xml:space="preserve">республики </w:t>
      </w:r>
      <w:r w:rsidRPr="007E19FF">
        <w:rPr>
          <w:rFonts w:ascii="Times New Roman" w:hAnsi="Times New Roman" w:cs="Times New Roman"/>
          <w:sz w:val="30"/>
          <w:szCs w:val="30"/>
        </w:rPr>
        <w:t>орган</w:t>
      </w:r>
      <w:r w:rsidR="00A7666B" w:rsidRPr="007E19FF">
        <w:rPr>
          <w:rFonts w:ascii="Times New Roman" w:hAnsi="Times New Roman" w:cs="Times New Roman"/>
          <w:sz w:val="30"/>
          <w:szCs w:val="30"/>
        </w:rPr>
        <w:t>и</w:t>
      </w:r>
      <w:r w:rsidRPr="007E19FF">
        <w:rPr>
          <w:rFonts w:ascii="Times New Roman" w:hAnsi="Times New Roman" w:cs="Times New Roman"/>
          <w:sz w:val="30"/>
          <w:szCs w:val="30"/>
        </w:rPr>
        <w:t>з</w:t>
      </w:r>
      <w:r w:rsidR="00A7666B" w:rsidRPr="007E19FF">
        <w:rPr>
          <w:rFonts w:ascii="Times New Roman" w:hAnsi="Times New Roman" w:cs="Times New Roman"/>
          <w:sz w:val="30"/>
          <w:szCs w:val="30"/>
        </w:rPr>
        <w:t xml:space="preserve">ованы и </w:t>
      </w:r>
      <w:r w:rsidR="00B246B4" w:rsidRPr="007E19FF">
        <w:rPr>
          <w:rFonts w:ascii="Times New Roman" w:hAnsi="Times New Roman" w:cs="Times New Roman"/>
          <w:sz w:val="30"/>
          <w:szCs w:val="30"/>
        </w:rPr>
        <w:t>успешно функционируют</w:t>
      </w:r>
      <w:r w:rsidR="00A7666B" w:rsidRPr="007E19FF">
        <w:rPr>
          <w:rFonts w:ascii="Times New Roman" w:hAnsi="Times New Roman" w:cs="Times New Roman"/>
          <w:sz w:val="30"/>
          <w:szCs w:val="30"/>
        </w:rPr>
        <w:t xml:space="preserve"> </w:t>
      </w:r>
      <w:r w:rsidRPr="007E19FF">
        <w:rPr>
          <w:rFonts w:ascii="Times New Roman" w:hAnsi="Times New Roman" w:cs="Times New Roman"/>
          <w:sz w:val="30"/>
          <w:szCs w:val="30"/>
        </w:rPr>
        <w:t>любительские объединения</w:t>
      </w:r>
      <w:r w:rsidR="00B246B4" w:rsidRPr="007E19FF">
        <w:rPr>
          <w:rFonts w:ascii="Times New Roman" w:hAnsi="Times New Roman" w:cs="Times New Roman"/>
          <w:sz w:val="30"/>
          <w:szCs w:val="30"/>
        </w:rPr>
        <w:t xml:space="preserve"> по правовым вопросам</w:t>
      </w:r>
      <w:r w:rsidRPr="007E19FF">
        <w:rPr>
          <w:rFonts w:ascii="Times New Roman" w:hAnsi="Times New Roman" w:cs="Times New Roman"/>
          <w:sz w:val="30"/>
          <w:szCs w:val="30"/>
        </w:rPr>
        <w:t xml:space="preserve">. </w:t>
      </w:r>
      <w:r w:rsidR="00B246B4" w:rsidRPr="007E19FF">
        <w:rPr>
          <w:rFonts w:ascii="Times New Roman" w:hAnsi="Times New Roman" w:cs="Times New Roman"/>
          <w:sz w:val="30"/>
          <w:szCs w:val="30"/>
        </w:rPr>
        <w:t>К примеру</w:t>
      </w:r>
      <w:r w:rsidRPr="007E19FF">
        <w:rPr>
          <w:rFonts w:ascii="Times New Roman" w:hAnsi="Times New Roman" w:cs="Times New Roman"/>
          <w:sz w:val="30"/>
          <w:szCs w:val="30"/>
        </w:rPr>
        <w:t>, школа правовых знаний «Фемида»</w:t>
      </w:r>
      <w:r w:rsidR="00221B8C" w:rsidRPr="007E19FF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221B8C" w:rsidRPr="007E19FF">
        <w:rPr>
          <w:rFonts w:ascii="Times New Roman" w:hAnsi="Times New Roman" w:cs="Times New Roman"/>
          <w:sz w:val="30"/>
          <w:szCs w:val="30"/>
        </w:rPr>
        <w:t>Лельчицкая</w:t>
      </w:r>
      <w:proofErr w:type="spellEnd"/>
      <w:r w:rsidR="00221B8C" w:rsidRPr="007E19FF">
        <w:rPr>
          <w:rFonts w:ascii="Times New Roman" w:hAnsi="Times New Roman" w:cs="Times New Roman"/>
          <w:sz w:val="30"/>
          <w:szCs w:val="30"/>
        </w:rPr>
        <w:t xml:space="preserve"> районная</w:t>
      </w:r>
      <w:r w:rsidR="00FF3686" w:rsidRPr="007E19FF">
        <w:rPr>
          <w:rFonts w:ascii="Times New Roman" w:hAnsi="Times New Roman" w:cs="Times New Roman"/>
          <w:sz w:val="30"/>
          <w:szCs w:val="30"/>
        </w:rPr>
        <w:t xml:space="preserve"> центра</w:t>
      </w:r>
      <w:r w:rsidR="00221B8C" w:rsidRPr="007E19FF">
        <w:rPr>
          <w:rFonts w:ascii="Times New Roman" w:hAnsi="Times New Roman" w:cs="Times New Roman"/>
          <w:sz w:val="30"/>
          <w:szCs w:val="30"/>
        </w:rPr>
        <w:t>лизованная библиотечная система</w:t>
      </w:r>
      <w:r w:rsidR="00FF3686" w:rsidRPr="007E19FF">
        <w:rPr>
          <w:rFonts w:ascii="Times New Roman" w:hAnsi="Times New Roman" w:cs="Times New Roman"/>
          <w:sz w:val="30"/>
          <w:szCs w:val="30"/>
        </w:rPr>
        <w:t xml:space="preserve"> Гомельской области</w:t>
      </w:r>
      <w:r w:rsidRPr="007E19FF">
        <w:rPr>
          <w:rFonts w:ascii="Times New Roman" w:hAnsi="Times New Roman" w:cs="Times New Roman"/>
          <w:sz w:val="30"/>
          <w:szCs w:val="30"/>
        </w:rPr>
        <w:t>, информационно-образовательный центр «Ориентир»</w:t>
      </w:r>
      <w:r w:rsidR="00FF3686" w:rsidRPr="007E19FF">
        <w:rPr>
          <w:rFonts w:ascii="Times New Roman" w:hAnsi="Times New Roman" w:cs="Times New Roman"/>
          <w:sz w:val="30"/>
          <w:szCs w:val="30"/>
        </w:rPr>
        <w:t xml:space="preserve"> в Гомельской городской библиотечной системе</w:t>
      </w:r>
      <w:r w:rsidRPr="007E19FF">
        <w:rPr>
          <w:rFonts w:ascii="Times New Roman" w:hAnsi="Times New Roman" w:cs="Times New Roman"/>
          <w:sz w:val="30"/>
          <w:szCs w:val="30"/>
        </w:rPr>
        <w:t>, детские объединения «Юный правовед»</w:t>
      </w:r>
      <w:r w:rsidR="00FF3686" w:rsidRPr="007E19FF">
        <w:rPr>
          <w:rFonts w:ascii="Times New Roman" w:hAnsi="Times New Roman" w:cs="Times New Roman"/>
          <w:sz w:val="30"/>
          <w:szCs w:val="30"/>
        </w:rPr>
        <w:t xml:space="preserve"> (информационно</w:t>
      </w:r>
      <w:r w:rsidR="00F42469" w:rsidRPr="007E19FF">
        <w:rPr>
          <w:rFonts w:ascii="Times New Roman" w:hAnsi="Times New Roman" w:cs="Times New Roman"/>
          <w:sz w:val="30"/>
          <w:szCs w:val="30"/>
        </w:rPr>
        <w:t>-библиотечный отдел ГУК «</w:t>
      </w:r>
      <w:r w:rsidR="00221B8C" w:rsidRPr="007E19FF">
        <w:rPr>
          <w:rFonts w:ascii="Times New Roman" w:hAnsi="Times New Roman" w:cs="Times New Roman"/>
          <w:sz w:val="30"/>
          <w:szCs w:val="30"/>
        </w:rPr>
        <w:t>Гроднен</w:t>
      </w:r>
      <w:r w:rsidR="00F42469" w:rsidRPr="007E19FF">
        <w:rPr>
          <w:rFonts w:ascii="Times New Roman" w:hAnsi="Times New Roman" w:cs="Times New Roman"/>
          <w:sz w:val="30"/>
          <w:szCs w:val="30"/>
        </w:rPr>
        <w:t>ский районный культурно-информационный центр» и ГУК «</w:t>
      </w:r>
      <w:proofErr w:type="spellStart"/>
      <w:r w:rsidR="00F42469" w:rsidRPr="007E19FF">
        <w:rPr>
          <w:rFonts w:ascii="Times New Roman" w:hAnsi="Times New Roman" w:cs="Times New Roman"/>
          <w:sz w:val="30"/>
          <w:szCs w:val="30"/>
        </w:rPr>
        <w:t>Щучинская</w:t>
      </w:r>
      <w:proofErr w:type="spellEnd"/>
      <w:r w:rsidR="00F42469" w:rsidRPr="007E19FF">
        <w:rPr>
          <w:rFonts w:ascii="Times New Roman" w:hAnsi="Times New Roman" w:cs="Times New Roman"/>
          <w:sz w:val="30"/>
          <w:szCs w:val="30"/>
        </w:rPr>
        <w:t xml:space="preserve"> районная библиотека им. Тетки»</w:t>
      </w:r>
      <w:r w:rsidR="00221B8C" w:rsidRPr="007E19FF">
        <w:rPr>
          <w:rFonts w:ascii="Times New Roman" w:hAnsi="Times New Roman" w:cs="Times New Roman"/>
          <w:sz w:val="30"/>
          <w:szCs w:val="30"/>
        </w:rPr>
        <w:t xml:space="preserve"> Гродненской области</w:t>
      </w:r>
      <w:r w:rsidR="00FF3686" w:rsidRPr="007E19FF">
        <w:rPr>
          <w:rFonts w:ascii="Times New Roman" w:hAnsi="Times New Roman" w:cs="Times New Roman"/>
          <w:sz w:val="30"/>
          <w:szCs w:val="30"/>
        </w:rPr>
        <w:t>)</w:t>
      </w:r>
      <w:r w:rsidRPr="007E19FF">
        <w:rPr>
          <w:rFonts w:ascii="Times New Roman" w:hAnsi="Times New Roman" w:cs="Times New Roman"/>
          <w:sz w:val="30"/>
          <w:szCs w:val="30"/>
        </w:rPr>
        <w:t>, «Гражданин»</w:t>
      </w:r>
      <w:r w:rsidR="00F42469" w:rsidRPr="007E19FF">
        <w:rPr>
          <w:rFonts w:ascii="Times New Roman" w:hAnsi="Times New Roman" w:cs="Times New Roman"/>
          <w:sz w:val="30"/>
          <w:szCs w:val="30"/>
        </w:rPr>
        <w:t xml:space="preserve"> (ГУК «</w:t>
      </w:r>
      <w:proofErr w:type="spellStart"/>
      <w:r w:rsidR="00F42469" w:rsidRPr="007E19FF">
        <w:rPr>
          <w:rFonts w:ascii="Times New Roman" w:hAnsi="Times New Roman" w:cs="Times New Roman"/>
          <w:sz w:val="30"/>
          <w:szCs w:val="30"/>
        </w:rPr>
        <w:t>Вороновская</w:t>
      </w:r>
      <w:proofErr w:type="spellEnd"/>
      <w:r w:rsidR="00F42469" w:rsidRPr="007E19FF">
        <w:rPr>
          <w:rFonts w:ascii="Times New Roman" w:hAnsi="Times New Roman" w:cs="Times New Roman"/>
          <w:sz w:val="30"/>
          <w:szCs w:val="30"/>
        </w:rPr>
        <w:t xml:space="preserve"> районная библиотека»</w:t>
      </w:r>
      <w:r w:rsidR="00221B8C" w:rsidRPr="007E19FF">
        <w:rPr>
          <w:rFonts w:ascii="Times New Roman" w:hAnsi="Times New Roman" w:cs="Times New Roman"/>
          <w:sz w:val="30"/>
          <w:szCs w:val="30"/>
        </w:rPr>
        <w:t xml:space="preserve"> Гродненской области</w:t>
      </w:r>
      <w:r w:rsidR="00F42469" w:rsidRPr="007E19FF">
        <w:rPr>
          <w:rFonts w:ascii="Times New Roman" w:hAnsi="Times New Roman" w:cs="Times New Roman"/>
          <w:sz w:val="30"/>
          <w:szCs w:val="30"/>
        </w:rPr>
        <w:t>)</w:t>
      </w:r>
      <w:r w:rsidR="00221B8C" w:rsidRPr="007E19FF">
        <w:rPr>
          <w:rFonts w:ascii="Times New Roman" w:hAnsi="Times New Roman" w:cs="Times New Roman"/>
          <w:sz w:val="30"/>
          <w:szCs w:val="30"/>
        </w:rPr>
        <w:t>.</w:t>
      </w:r>
    </w:p>
    <w:p w:rsidR="00F850FC" w:rsidRPr="007E19FF" w:rsidRDefault="00622961" w:rsidP="009203EF">
      <w:pPr>
        <w:tabs>
          <w:tab w:val="left" w:pos="2925"/>
        </w:tabs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E19FF">
        <w:rPr>
          <w:rFonts w:ascii="Times New Roman" w:hAnsi="Times New Roman" w:cs="Times New Roman"/>
          <w:sz w:val="30"/>
          <w:szCs w:val="30"/>
        </w:rPr>
        <w:lastRenderedPageBreak/>
        <w:t xml:space="preserve">Как правило, пользователям публичных центров правовой информации недостаточно только ознакомиться с нормативным документом, важно получить комментарии к нему, а также консультацию </w:t>
      </w:r>
      <w:r w:rsidR="00B52B03" w:rsidRPr="007E19FF">
        <w:rPr>
          <w:rFonts w:ascii="Times New Roman" w:hAnsi="Times New Roman" w:cs="Times New Roman"/>
          <w:sz w:val="30"/>
          <w:szCs w:val="30"/>
        </w:rPr>
        <w:t>по его практическому применению.</w:t>
      </w:r>
      <w:r w:rsidR="00D8611C" w:rsidRPr="007E19FF">
        <w:rPr>
          <w:rFonts w:ascii="Times New Roman" w:hAnsi="Times New Roman" w:cs="Times New Roman"/>
          <w:sz w:val="30"/>
          <w:szCs w:val="30"/>
        </w:rPr>
        <w:t xml:space="preserve"> Б</w:t>
      </w:r>
      <w:r w:rsidRPr="007E19FF">
        <w:rPr>
          <w:rFonts w:ascii="Times New Roman" w:hAnsi="Times New Roman" w:cs="Times New Roman"/>
          <w:sz w:val="30"/>
          <w:szCs w:val="30"/>
        </w:rPr>
        <w:t xml:space="preserve">иблиотекарь или библиограф, являющийся сотрудником ПЦПИ, сделать </w:t>
      </w:r>
      <w:r w:rsidR="00D8611C" w:rsidRPr="007E19FF">
        <w:rPr>
          <w:rFonts w:ascii="Times New Roman" w:hAnsi="Times New Roman" w:cs="Times New Roman"/>
          <w:sz w:val="30"/>
          <w:szCs w:val="30"/>
        </w:rPr>
        <w:t xml:space="preserve">этого </w:t>
      </w:r>
      <w:r w:rsidRPr="007E19FF">
        <w:rPr>
          <w:rFonts w:ascii="Times New Roman" w:hAnsi="Times New Roman" w:cs="Times New Roman"/>
          <w:sz w:val="30"/>
          <w:szCs w:val="30"/>
        </w:rPr>
        <w:t xml:space="preserve">не может и не имеет права. Поэтому организация в </w:t>
      </w:r>
      <w:r w:rsidR="00D8611C" w:rsidRPr="007E19FF">
        <w:rPr>
          <w:rFonts w:ascii="Times New Roman" w:hAnsi="Times New Roman" w:cs="Times New Roman"/>
          <w:sz w:val="30"/>
          <w:szCs w:val="30"/>
        </w:rPr>
        <w:t xml:space="preserve">публичных центрах правовой информации </w:t>
      </w:r>
      <w:r w:rsidRPr="007E19FF">
        <w:rPr>
          <w:rFonts w:ascii="Times New Roman" w:hAnsi="Times New Roman" w:cs="Times New Roman"/>
          <w:sz w:val="30"/>
          <w:szCs w:val="30"/>
        </w:rPr>
        <w:t>индивидуальных и групповых юридических консультаций с участием специалистов в области права имеет большое значение.</w:t>
      </w:r>
    </w:p>
    <w:p w:rsidR="00622961" w:rsidRPr="007E19FF" w:rsidRDefault="00622961" w:rsidP="00622961">
      <w:pPr>
        <w:tabs>
          <w:tab w:val="left" w:pos="2925"/>
        </w:tabs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E19FF">
        <w:rPr>
          <w:rFonts w:ascii="Times New Roman" w:hAnsi="Times New Roman" w:cs="Times New Roman"/>
          <w:sz w:val="30"/>
          <w:szCs w:val="30"/>
        </w:rPr>
        <w:t>У многих ПЦПИ налажены связи с различными учреждениями по оказанию бесплатной юридической помощи гражданам: с прокуратурами, нотариальными конторами, судами, отделами культуры райисполкомов, поселковыми и сельскими советами, банками.</w:t>
      </w:r>
    </w:p>
    <w:p w:rsidR="00622961" w:rsidRPr="007E19FF" w:rsidRDefault="00622961" w:rsidP="00622961">
      <w:pPr>
        <w:tabs>
          <w:tab w:val="left" w:pos="2925"/>
        </w:tabs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E19FF">
        <w:rPr>
          <w:rFonts w:ascii="Times New Roman" w:hAnsi="Times New Roman" w:cs="Times New Roman"/>
          <w:sz w:val="30"/>
          <w:szCs w:val="30"/>
        </w:rPr>
        <w:t>Совместные мероприятия ПЦПИ и юридических служб проходят преимущественно в виде тематических встреч, бесед, лекций, бесп</w:t>
      </w:r>
      <w:r w:rsidR="00D8611C" w:rsidRPr="007E19FF">
        <w:rPr>
          <w:rFonts w:ascii="Times New Roman" w:hAnsi="Times New Roman" w:cs="Times New Roman"/>
          <w:sz w:val="30"/>
          <w:szCs w:val="30"/>
        </w:rPr>
        <w:t>латных групповых и индивидуальных юридических консультаций.</w:t>
      </w:r>
    </w:p>
    <w:p w:rsidR="00140BED" w:rsidRPr="007E19FF" w:rsidRDefault="007205E1" w:rsidP="00622961">
      <w:pPr>
        <w:tabs>
          <w:tab w:val="left" w:pos="2925"/>
        </w:tabs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E19FF">
        <w:rPr>
          <w:rFonts w:ascii="Times New Roman" w:hAnsi="Times New Roman" w:cs="Times New Roman"/>
          <w:sz w:val="30"/>
          <w:szCs w:val="30"/>
        </w:rPr>
        <w:t>Одним из примеров</w:t>
      </w:r>
      <w:r w:rsidR="006B67E6" w:rsidRPr="007E19FF">
        <w:rPr>
          <w:rFonts w:ascii="Times New Roman" w:hAnsi="Times New Roman" w:cs="Times New Roman"/>
          <w:sz w:val="30"/>
          <w:szCs w:val="30"/>
        </w:rPr>
        <w:t xml:space="preserve"> плодотворной работы в данном направлении</w:t>
      </w:r>
      <w:r w:rsidR="00B81EBA" w:rsidRPr="007E19FF">
        <w:rPr>
          <w:rFonts w:ascii="Times New Roman" w:hAnsi="Times New Roman" w:cs="Times New Roman"/>
          <w:sz w:val="30"/>
          <w:szCs w:val="30"/>
        </w:rPr>
        <w:t xml:space="preserve"> может служить деятельность</w:t>
      </w:r>
      <w:r w:rsidR="0005095B" w:rsidRPr="007E19FF">
        <w:rPr>
          <w:rFonts w:ascii="Times New Roman" w:hAnsi="Times New Roman" w:cs="Times New Roman"/>
          <w:sz w:val="30"/>
          <w:szCs w:val="30"/>
        </w:rPr>
        <w:t xml:space="preserve"> </w:t>
      </w:r>
      <w:r w:rsidR="00140BED" w:rsidRPr="007E19FF">
        <w:rPr>
          <w:rFonts w:ascii="Times New Roman" w:hAnsi="Times New Roman" w:cs="Times New Roman"/>
          <w:sz w:val="30"/>
          <w:szCs w:val="30"/>
        </w:rPr>
        <w:t xml:space="preserve">ПЦПИ Брестской </w:t>
      </w:r>
      <w:r w:rsidR="001C6070" w:rsidRPr="007E19FF">
        <w:rPr>
          <w:rFonts w:ascii="Times New Roman" w:hAnsi="Times New Roman" w:cs="Times New Roman"/>
          <w:sz w:val="30"/>
          <w:szCs w:val="30"/>
        </w:rPr>
        <w:t>областной библиотеки им. М. Горького</w:t>
      </w:r>
      <w:r w:rsidR="00A148BC" w:rsidRPr="007E19FF">
        <w:rPr>
          <w:rFonts w:ascii="Times New Roman" w:hAnsi="Times New Roman" w:cs="Times New Roman"/>
          <w:sz w:val="30"/>
          <w:szCs w:val="30"/>
        </w:rPr>
        <w:t xml:space="preserve">. </w:t>
      </w:r>
      <w:r w:rsidR="001C6070" w:rsidRPr="007E19FF">
        <w:rPr>
          <w:rFonts w:ascii="Times New Roman" w:hAnsi="Times New Roman" w:cs="Times New Roman"/>
          <w:sz w:val="30"/>
          <w:szCs w:val="30"/>
        </w:rPr>
        <w:t>На протяжении 2018-2020 </w:t>
      </w:r>
      <w:r w:rsidR="00140BED" w:rsidRPr="007E19FF">
        <w:rPr>
          <w:rFonts w:ascii="Times New Roman" w:hAnsi="Times New Roman" w:cs="Times New Roman"/>
          <w:sz w:val="30"/>
          <w:szCs w:val="30"/>
        </w:rPr>
        <w:t xml:space="preserve">гг. </w:t>
      </w:r>
      <w:r w:rsidR="00DB7EDA" w:rsidRPr="007E19FF">
        <w:rPr>
          <w:rFonts w:ascii="Times New Roman" w:hAnsi="Times New Roman" w:cs="Times New Roman"/>
          <w:sz w:val="30"/>
          <w:szCs w:val="30"/>
        </w:rPr>
        <w:t xml:space="preserve">совместно с Брестским областным нотариальным округом </w:t>
      </w:r>
      <w:r w:rsidR="00F03668" w:rsidRPr="007E19FF">
        <w:rPr>
          <w:rFonts w:ascii="Times New Roman" w:hAnsi="Times New Roman" w:cs="Times New Roman"/>
          <w:sz w:val="30"/>
          <w:szCs w:val="30"/>
        </w:rPr>
        <w:t xml:space="preserve">правовым </w:t>
      </w:r>
      <w:r w:rsidR="001C6070" w:rsidRPr="007E19FF">
        <w:rPr>
          <w:rFonts w:ascii="Times New Roman" w:hAnsi="Times New Roman" w:cs="Times New Roman"/>
          <w:sz w:val="30"/>
          <w:szCs w:val="30"/>
        </w:rPr>
        <w:t xml:space="preserve">центром библиотеки </w:t>
      </w:r>
      <w:r w:rsidR="00DB7EDA" w:rsidRPr="007E19FF">
        <w:rPr>
          <w:rFonts w:ascii="Times New Roman" w:hAnsi="Times New Roman" w:cs="Times New Roman"/>
          <w:sz w:val="30"/>
          <w:szCs w:val="30"/>
        </w:rPr>
        <w:t xml:space="preserve">осуществлялся проект «Нотариус онлайн», </w:t>
      </w:r>
      <w:r w:rsidR="001C6070" w:rsidRPr="007E19FF">
        <w:rPr>
          <w:rFonts w:ascii="Times New Roman" w:hAnsi="Times New Roman" w:cs="Times New Roman"/>
          <w:sz w:val="30"/>
          <w:szCs w:val="30"/>
        </w:rPr>
        <w:t xml:space="preserve">в результате </w:t>
      </w:r>
      <w:r w:rsidR="00DB7EDA" w:rsidRPr="007E19FF">
        <w:rPr>
          <w:rFonts w:ascii="Times New Roman" w:hAnsi="Times New Roman" w:cs="Times New Roman"/>
          <w:sz w:val="30"/>
          <w:szCs w:val="30"/>
        </w:rPr>
        <w:t xml:space="preserve">которого </w:t>
      </w:r>
      <w:r w:rsidR="001C6070" w:rsidRPr="007E19FF">
        <w:rPr>
          <w:rFonts w:ascii="Times New Roman" w:hAnsi="Times New Roman" w:cs="Times New Roman"/>
          <w:sz w:val="30"/>
          <w:szCs w:val="30"/>
        </w:rPr>
        <w:t>было проведено</w:t>
      </w:r>
      <w:r w:rsidR="00DB7EDA" w:rsidRPr="007E19FF">
        <w:rPr>
          <w:rFonts w:ascii="Times New Roman" w:hAnsi="Times New Roman" w:cs="Times New Roman"/>
          <w:sz w:val="30"/>
          <w:szCs w:val="30"/>
        </w:rPr>
        <w:t xml:space="preserve"> 130 виртуальных консультаций. С ноября 2020 г. на сайте областной библиотеки </w:t>
      </w:r>
      <w:r w:rsidR="006B67E6" w:rsidRPr="007E19FF">
        <w:rPr>
          <w:rFonts w:ascii="Times New Roman" w:hAnsi="Times New Roman" w:cs="Times New Roman"/>
          <w:sz w:val="30"/>
          <w:szCs w:val="30"/>
        </w:rPr>
        <w:t>начал функционировать</w:t>
      </w:r>
      <w:r w:rsidR="00DB7EDA" w:rsidRPr="007E19FF">
        <w:rPr>
          <w:rFonts w:ascii="Times New Roman" w:hAnsi="Times New Roman" w:cs="Times New Roman"/>
          <w:sz w:val="30"/>
          <w:szCs w:val="30"/>
        </w:rPr>
        <w:t xml:space="preserve"> виртуальный сервис «Адвокат онлайн», реализуемый совместно с областной коллегией адвокатов. Раз в квартал библиотека организовывает бесплатные юридические консультации с участием нотариусов и адвокатов для жителей г.</w:t>
      </w:r>
      <w:r w:rsidR="0005095B" w:rsidRPr="007E19FF">
        <w:rPr>
          <w:rFonts w:ascii="Times New Roman" w:hAnsi="Times New Roman" w:cs="Times New Roman"/>
          <w:sz w:val="30"/>
          <w:szCs w:val="30"/>
        </w:rPr>
        <w:t xml:space="preserve"> </w:t>
      </w:r>
      <w:r w:rsidR="00D8611C" w:rsidRPr="007E19FF">
        <w:rPr>
          <w:rFonts w:ascii="Times New Roman" w:hAnsi="Times New Roman" w:cs="Times New Roman"/>
          <w:sz w:val="30"/>
          <w:szCs w:val="30"/>
        </w:rPr>
        <w:t>Бреста. Также</w:t>
      </w:r>
      <w:r w:rsidR="00DB7EDA" w:rsidRPr="007E19FF">
        <w:rPr>
          <w:rFonts w:ascii="Times New Roman" w:hAnsi="Times New Roman" w:cs="Times New Roman"/>
          <w:sz w:val="30"/>
          <w:szCs w:val="30"/>
        </w:rPr>
        <w:t xml:space="preserve"> на базе библиотеки функ</w:t>
      </w:r>
      <w:r w:rsidR="00D8611C" w:rsidRPr="007E19FF">
        <w:rPr>
          <w:rFonts w:ascii="Times New Roman" w:hAnsi="Times New Roman" w:cs="Times New Roman"/>
          <w:sz w:val="30"/>
          <w:szCs w:val="30"/>
        </w:rPr>
        <w:t>ционирует юридическая клиника, г</w:t>
      </w:r>
      <w:r w:rsidR="00DB7EDA" w:rsidRPr="007E19FF">
        <w:rPr>
          <w:rFonts w:ascii="Times New Roman" w:hAnsi="Times New Roman" w:cs="Times New Roman"/>
          <w:sz w:val="30"/>
          <w:szCs w:val="30"/>
        </w:rPr>
        <w:t>де консультации провод</w:t>
      </w:r>
      <w:r w:rsidR="0005095B" w:rsidRPr="007E19FF">
        <w:rPr>
          <w:rFonts w:ascii="Times New Roman" w:hAnsi="Times New Roman" w:cs="Times New Roman"/>
          <w:sz w:val="30"/>
          <w:szCs w:val="30"/>
        </w:rPr>
        <w:t>ят студенты юридического факу</w:t>
      </w:r>
      <w:r w:rsidR="00DB7EDA" w:rsidRPr="007E19FF">
        <w:rPr>
          <w:rFonts w:ascii="Times New Roman" w:hAnsi="Times New Roman" w:cs="Times New Roman"/>
          <w:sz w:val="30"/>
          <w:szCs w:val="30"/>
        </w:rPr>
        <w:t>льтета Бр</w:t>
      </w:r>
      <w:r w:rsidR="006B67E6" w:rsidRPr="007E19FF">
        <w:rPr>
          <w:rFonts w:ascii="Times New Roman" w:hAnsi="Times New Roman" w:cs="Times New Roman"/>
          <w:sz w:val="30"/>
          <w:szCs w:val="30"/>
        </w:rPr>
        <w:t>естского государственного университета</w:t>
      </w:r>
      <w:r w:rsidR="00DB7EDA" w:rsidRPr="007E19FF">
        <w:rPr>
          <w:rFonts w:ascii="Times New Roman" w:hAnsi="Times New Roman" w:cs="Times New Roman"/>
          <w:sz w:val="30"/>
          <w:szCs w:val="30"/>
        </w:rPr>
        <w:t xml:space="preserve"> им. А.С. Пушкина.</w:t>
      </w:r>
    </w:p>
    <w:p w:rsidR="007F5C78" w:rsidRPr="007E19FF" w:rsidRDefault="00EE2D68" w:rsidP="00622961">
      <w:pPr>
        <w:tabs>
          <w:tab w:val="left" w:pos="2925"/>
        </w:tabs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E19FF">
        <w:rPr>
          <w:rFonts w:ascii="Times New Roman" w:hAnsi="Times New Roman" w:cs="Times New Roman"/>
          <w:sz w:val="30"/>
          <w:szCs w:val="30"/>
        </w:rPr>
        <w:t>К</w:t>
      </w:r>
      <w:r w:rsidR="00B9720F" w:rsidRPr="007E19FF">
        <w:rPr>
          <w:rFonts w:ascii="Times New Roman" w:hAnsi="Times New Roman" w:cs="Times New Roman"/>
          <w:sz w:val="30"/>
          <w:szCs w:val="30"/>
        </w:rPr>
        <w:t>ак свидетельствует статистика, общее количество юридических консультаций</w:t>
      </w:r>
      <w:r w:rsidR="006B67E6" w:rsidRPr="007E19FF">
        <w:rPr>
          <w:rFonts w:ascii="Times New Roman" w:hAnsi="Times New Roman" w:cs="Times New Roman"/>
          <w:sz w:val="30"/>
          <w:szCs w:val="30"/>
        </w:rPr>
        <w:t>, проведенных</w:t>
      </w:r>
      <w:r w:rsidR="00B9720F" w:rsidRPr="007E19FF">
        <w:rPr>
          <w:rFonts w:ascii="Times New Roman" w:hAnsi="Times New Roman" w:cs="Times New Roman"/>
          <w:sz w:val="30"/>
          <w:szCs w:val="30"/>
        </w:rPr>
        <w:t xml:space="preserve"> в ПЦПИ имеет тенденцию к </w:t>
      </w:r>
      <w:r w:rsidR="00404170" w:rsidRPr="007E19FF">
        <w:rPr>
          <w:rFonts w:ascii="Times New Roman" w:hAnsi="Times New Roman" w:cs="Times New Roman"/>
          <w:sz w:val="30"/>
          <w:szCs w:val="30"/>
        </w:rPr>
        <w:t>увеличению (рис.7</w:t>
      </w:r>
      <w:r w:rsidR="009B5B7A" w:rsidRPr="007E19FF">
        <w:rPr>
          <w:rFonts w:ascii="Times New Roman" w:hAnsi="Times New Roman" w:cs="Times New Roman"/>
          <w:sz w:val="30"/>
          <w:szCs w:val="30"/>
        </w:rPr>
        <w:t>). В 2015</w:t>
      </w:r>
      <w:r w:rsidR="00492EA4" w:rsidRPr="007E19FF">
        <w:rPr>
          <w:rFonts w:ascii="Times New Roman" w:hAnsi="Times New Roman" w:cs="Times New Roman"/>
          <w:sz w:val="30"/>
          <w:szCs w:val="30"/>
        </w:rPr>
        <w:t xml:space="preserve"> </w:t>
      </w:r>
      <w:r w:rsidR="00B9720F" w:rsidRPr="007E19FF">
        <w:rPr>
          <w:rFonts w:ascii="Times New Roman" w:hAnsi="Times New Roman" w:cs="Times New Roman"/>
          <w:sz w:val="30"/>
          <w:szCs w:val="30"/>
        </w:rPr>
        <w:t>г. в рамках оказания юридической помощи населен</w:t>
      </w:r>
      <w:r w:rsidR="009B5B7A" w:rsidRPr="007E19FF">
        <w:rPr>
          <w:rFonts w:ascii="Times New Roman" w:hAnsi="Times New Roman" w:cs="Times New Roman"/>
          <w:sz w:val="30"/>
          <w:szCs w:val="30"/>
        </w:rPr>
        <w:t>ию было проведено в среднем по 2</w:t>
      </w:r>
      <w:r w:rsidR="00B9720F" w:rsidRPr="007E19FF">
        <w:rPr>
          <w:rFonts w:ascii="Times New Roman" w:hAnsi="Times New Roman" w:cs="Times New Roman"/>
          <w:sz w:val="30"/>
          <w:szCs w:val="30"/>
        </w:rPr>
        <w:t xml:space="preserve"> консультации в к</w:t>
      </w:r>
      <w:r w:rsidR="006B67E6" w:rsidRPr="007E19FF">
        <w:rPr>
          <w:rFonts w:ascii="Times New Roman" w:hAnsi="Times New Roman" w:cs="Times New Roman"/>
          <w:sz w:val="30"/>
          <w:szCs w:val="30"/>
        </w:rPr>
        <w:t>аждом ПЦПИ,</w:t>
      </w:r>
      <w:r w:rsidR="009B5B7A" w:rsidRPr="007E19FF">
        <w:rPr>
          <w:rFonts w:ascii="Times New Roman" w:hAnsi="Times New Roman" w:cs="Times New Roman"/>
          <w:sz w:val="30"/>
          <w:szCs w:val="30"/>
        </w:rPr>
        <w:t xml:space="preserve"> по итогам </w:t>
      </w:r>
      <w:r w:rsidR="006B67E6" w:rsidRPr="007E19FF">
        <w:rPr>
          <w:rFonts w:ascii="Times New Roman" w:hAnsi="Times New Roman" w:cs="Times New Roman"/>
          <w:sz w:val="30"/>
          <w:szCs w:val="30"/>
        </w:rPr>
        <w:t xml:space="preserve">же </w:t>
      </w:r>
      <w:r w:rsidR="009B5B7A" w:rsidRPr="007E19FF">
        <w:rPr>
          <w:rFonts w:ascii="Times New Roman" w:hAnsi="Times New Roman" w:cs="Times New Roman"/>
          <w:sz w:val="30"/>
          <w:szCs w:val="30"/>
        </w:rPr>
        <w:t>2020</w:t>
      </w:r>
      <w:r w:rsidR="00F46AE5" w:rsidRPr="007E19FF">
        <w:rPr>
          <w:rFonts w:ascii="Times New Roman" w:hAnsi="Times New Roman" w:cs="Times New Roman"/>
          <w:sz w:val="30"/>
          <w:szCs w:val="30"/>
        </w:rPr>
        <w:t xml:space="preserve"> г.– </w:t>
      </w:r>
      <w:r w:rsidR="003712FE" w:rsidRPr="007E19FF">
        <w:rPr>
          <w:rFonts w:ascii="Times New Roman" w:hAnsi="Times New Roman" w:cs="Times New Roman"/>
          <w:sz w:val="30"/>
          <w:szCs w:val="30"/>
        </w:rPr>
        <w:t xml:space="preserve">около </w:t>
      </w:r>
      <w:r w:rsidR="004C32E2" w:rsidRPr="007E19FF">
        <w:rPr>
          <w:rFonts w:ascii="Times New Roman" w:hAnsi="Times New Roman" w:cs="Times New Roman"/>
          <w:sz w:val="30"/>
          <w:szCs w:val="30"/>
        </w:rPr>
        <w:t>4</w:t>
      </w:r>
      <w:r w:rsidR="00B9720F" w:rsidRPr="007E19FF">
        <w:rPr>
          <w:rFonts w:ascii="Times New Roman" w:hAnsi="Times New Roman" w:cs="Times New Roman"/>
          <w:sz w:val="30"/>
          <w:szCs w:val="30"/>
        </w:rPr>
        <w:t>.</w:t>
      </w:r>
    </w:p>
    <w:p w:rsidR="00E1111C" w:rsidRPr="007E19FF" w:rsidRDefault="00E1111C" w:rsidP="00622961">
      <w:pPr>
        <w:tabs>
          <w:tab w:val="left" w:pos="292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5B7A" w:rsidRPr="007E19FF" w:rsidRDefault="00AB3D4D" w:rsidP="00AB3D4D">
      <w:pPr>
        <w:tabs>
          <w:tab w:val="left" w:pos="2925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E19F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80460" cy="2316480"/>
            <wp:effectExtent l="0" t="0" r="15240" b="762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A1E3B" w:rsidRPr="007E19FF" w:rsidRDefault="00BA1E3B" w:rsidP="00622961">
      <w:pPr>
        <w:tabs>
          <w:tab w:val="left" w:pos="292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D4D" w:rsidRPr="007E19FF" w:rsidRDefault="00492EA4" w:rsidP="00D8611C">
      <w:pPr>
        <w:tabs>
          <w:tab w:val="left" w:pos="3540"/>
        </w:tabs>
        <w:jc w:val="center"/>
        <w:rPr>
          <w:rFonts w:ascii="Times New Roman" w:hAnsi="Times New Roman" w:cs="Times New Roman"/>
        </w:rPr>
      </w:pPr>
      <w:r w:rsidRPr="007E19FF">
        <w:rPr>
          <w:rFonts w:ascii="Times New Roman" w:hAnsi="Times New Roman" w:cs="Times New Roman"/>
        </w:rPr>
        <w:t>Рис. 7</w:t>
      </w:r>
      <w:r w:rsidR="00AB3D4D" w:rsidRPr="007E19FF">
        <w:rPr>
          <w:rFonts w:ascii="Times New Roman" w:hAnsi="Times New Roman" w:cs="Times New Roman"/>
        </w:rPr>
        <w:t xml:space="preserve"> Количество проведенных в ПЦПИ</w:t>
      </w:r>
      <w:r w:rsidR="00BC68C1">
        <w:rPr>
          <w:rFonts w:ascii="Times New Roman" w:hAnsi="Times New Roman" w:cs="Times New Roman"/>
        </w:rPr>
        <w:t xml:space="preserve"> юридических консультаций, 2016–</w:t>
      </w:r>
      <w:r w:rsidR="00AB3D4D" w:rsidRPr="007E19FF">
        <w:rPr>
          <w:rFonts w:ascii="Times New Roman" w:hAnsi="Times New Roman" w:cs="Times New Roman"/>
        </w:rPr>
        <w:t>2020 гг.</w:t>
      </w:r>
    </w:p>
    <w:p w:rsidR="00404170" w:rsidRPr="007E19FF" w:rsidRDefault="00404170" w:rsidP="00404170">
      <w:pPr>
        <w:tabs>
          <w:tab w:val="left" w:pos="2925"/>
        </w:tabs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E19FF">
        <w:rPr>
          <w:rFonts w:ascii="Times New Roman" w:hAnsi="Times New Roman" w:cs="Times New Roman"/>
          <w:sz w:val="30"/>
          <w:szCs w:val="30"/>
        </w:rPr>
        <w:t xml:space="preserve">Поиск направлений сотрудничества с местными коллегиями адвокатов, нотариальными конторами и правоохранительными </w:t>
      </w:r>
      <w:r w:rsidR="00D8611C" w:rsidRPr="007E19FF">
        <w:rPr>
          <w:rFonts w:ascii="Times New Roman" w:hAnsi="Times New Roman" w:cs="Times New Roman"/>
          <w:sz w:val="30"/>
          <w:szCs w:val="30"/>
        </w:rPr>
        <w:t>органами помогают</w:t>
      </w:r>
      <w:r w:rsidRPr="007E19FF">
        <w:rPr>
          <w:rFonts w:ascii="Times New Roman" w:hAnsi="Times New Roman" w:cs="Times New Roman"/>
          <w:sz w:val="30"/>
          <w:szCs w:val="30"/>
        </w:rPr>
        <w:t xml:space="preserve"> публичной библиотеке стать площадкой для диалога граждан с представителями данных государственных органов и учреждений, в рамках которого </w:t>
      </w:r>
      <w:r w:rsidR="00D8611C" w:rsidRPr="007E19FF">
        <w:rPr>
          <w:rFonts w:ascii="Times New Roman" w:hAnsi="Times New Roman" w:cs="Times New Roman"/>
          <w:sz w:val="30"/>
          <w:szCs w:val="30"/>
        </w:rPr>
        <w:t xml:space="preserve">оказывается </w:t>
      </w:r>
      <w:r w:rsidRPr="007E19FF">
        <w:rPr>
          <w:rFonts w:ascii="Times New Roman" w:hAnsi="Times New Roman" w:cs="Times New Roman"/>
          <w:sz w:val="30"/>
          <w:szCs w:val="30"/>
        </w:rPr>
        <w:t xml:space="preserve">правовая </w:t>
      </w:r>
      <w:r w:rsidR="00D8611C" w:rsidRPr="007E19FF">
        <w:rPr>
          <w:rFonts w:ascii="Times New Roman" w:hAnsi="Times New Roman" w:cs="Times New Roman"/>
          <w:sz w:val="30"/>
          <w:szCs w:val="30"/>
        </w:rPr>
        <w:t>помощь. Кроме того, это позволяет</w:t>
      </w:r>
      <w:r w:rsidRPr="007E19FF">
        <w:rPr>
          <w:rFonts w:ascii="Times New Roman" w:hAnsi="Times New Roman" w:cs="Times New Roman"/>
          <w:sz w:val="30"/>
          <w:szCs w:val="30"/>
        </w:rPr>
        <w:t xml:space="preserve"> не потерять реальных и привлечь потенциальных пользователей </w:t>
      </w:r>
      <w:r w:rsidR="00D8611C" w:rsidRPr="007E19FF">
        <w:rPr>
          <w:rFonts w:ascii="Times New Roman" w:hAnsi="Times New Roman" w:cs="Times New Roman"/>
          <w:sz w:val="30"/>
          <w:szCs w:val="30"/>
        </w:rPr>
        <w:t xml:space="preserve">в </w:t>
      </w:r>
      <w:r w:rsidRPr="007E19FF">
        <w:rPr>
          <w:rFonts w:ascii="Times New Roman" w:hAnsi="Times New Roman" w:cs="Times New Roman"/>
          <w:sz w:val="30"/>
          <w:szCs w:val="30"/>
        </w:rPr>
        <w:t>ПЦПИ.</w:t>
      </w:r>
    </w:p>
    <w:p w:rsidR="00E1111C" w:rsidRPr="007E19FF" w:rsidRDefault="00E1111C" w:rsidP="00E1111C">
      <w:pPr>
        <w:tabs>
          <w:tab w:val="left" w:pos="2925"/>
        </w:tabs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E19FF">
        <w:rPr>
          <w:rFonts w:ascii="Times New Roman" w:hAnsi="Times New Roman" w:cs="Times New Roman"/>
          <w:sz w:val="30"/>
          <w:szCs w:val="30"/>
        </w:rPr>
        <w:t>В популяризации центров</w:t>
      </w:r>
      <w:r w:rsidR="00D8611C" w:rsidRPr="007E19FF">
        <w:rPr>
          <w:rFonts w:ascii="Times New Roman" w:hAnsi="Times New Roman" w:cs="Times New Roman"/>
          <w:sz w:val="30"/>
          <w:szCs w:val="30"/>
        </w:rPr>
        <w:t>, их</w:t>
      </w:r>
      <w:r w:rsidRPr="007E19FF">
        <w:rPr>
          <w:rFonts w:ascii="Times New Roman" w:hAnsi="Times New Roman" w:cs="Times New Roman"/>
          <w:sz w:val="30"/>
          <w:szCs w:val="30"/>
        </w:rPr>
        <w:t xml:space="preserve"> </w:t>
      </w:r>
      <w:r w:rsidR="00D8611C" w:rsidRPr="007E19FF">
        <w:rPr>
          <w:rFonts w:ascii="Times New Roman" w:hAnsi="Times New Roman" w:cs="Times New Roman"/>
          <w:sz w:val="30"/>
          <w:szCs w:val="30"/>
        </w:rPr>
        <w:t xml:space="preserve">продуктов и услуг </w:t>
      </w:r>
      <w:r w:rsidRPr="007E19FF">
        <w:rPr>
          <w:rFonts w:ascii="Times New Roman" w:hAnsi="Times New Roman" w:cs="Times New Roman"/>
          <w:sz w:val="30"/>
          <w:szCs w:val="30"/>
        </w:rPr>
        <w:t>значительная роль отводится рекламе</w:t>
      </w:r>
      <w:r w:rsidR="00D8611C" w:rsidRPr="007E19FF">
        <w:rPr>
          <w:rFonts w:ascii="Times New Roman" w:hAnsi="Times New Roman" w:cs="Times New Roman"/>
          <w:sz w:val="30"/>
          <w:szCs w:val="30"/>
        </w:rPr>
        <w:t xml:space="preserve"> в </w:t>
      </w:r>
      <w:r w:rsidRPr="007E19FF">
        <w:rPr>
          <w:rFonts w:ascii="Times New Roman" w:hAnsi="Times New Roman" w:cs="Times New Roman"/>
          <w:sz w:val="30"/>
          <w:szCs w:val="30"/>
        </w:rPr>
        <w:t>средств</w:t>
      </w:r>
      <w:r w:rsidR="00D8611C" w:rsidRPr="007E19FF">
        <w:rPr>
          <w:rFonts w:ascii="Times New Roman" w:hAnsi="Times New Roman" w:cs="Times New Roman"/>
          <w:sz w:val="30"/>
          <w:szCs w:val="30"/>
        </w:rPr>
        <w:t>ах массовой информации,</w:t>
      </w:r>
      <w:r w:rsidRPr="007E19FF">
        <w:rPr>
          <w:rFonts w:ascii="Times New Roman" w:hAnsi="Times New Roman" w:cs="Times New Roman"/>
          <w:sz w:val="30"/>
          <w:szCs w:val="30"/>
        </w:rPr>
        <w:t xml:space="preserve"> </w:t>
      </w:r>
      <w:r w:rsidR="00D8611C" w:rsidRPr="007E19FF">
        <w:rPr>
          <w:rFonts w:ascii="Times New Roman" w:hAnsi="Times New Roman" w:cs="Times New Roman"/>
          <w:sz w:val="30"/>
          <w:szCs w:val="30"/>
        </w:rPr>
        <w:t>выступления</w:t>
      </w:r>
      <w:r w:rsidR="006B67E6" w:rsidRPr="007E19FF">
        <w:rPr>
          <w:rFonts w:ascii="Times New Roman" w:hAnsi="Times New Roman" w:cs="Times New Roman"/>
          <w:sz w:val="30"/>
          <w:szCs w:val="30"/>
        </w:rPr>
        <w:t>м</w:t>
      </w:r>
      <w:r w:rsidR="00D8611C" w:rsidRPr="007E19FF">
        <w:rPr>
          <w:rFonts w:ascii="Times New Roman" w:hAnsi="Times New Roman" w:cs="Times New Roman"/>
          <w:sz w:val="30"/>
          <w:szCs w:val="30"/>
        </w:rPr>
        <w:t xml:space="preserve"> сотрудников с докладами на конференциях и семинарах</w:t>
      </w:r>
      <w:r w:rsidR="006B67E6" w:rsidRPr="007E19FF">
        <w:rPr>
          <w:rFonts w:ascii="Times New Roman" w:hAnsi="Times New Roman" w:cs="Times New Roman"/>
          <w:sz w:val="30"/>
          <w:szCs w:val="30"/>
        </w:rPr>
        <w:t>, публикациям на страницах периодической печати</w:t>
      </w:r>
      <w:r w:rsidRPr="007E19FF">
        <w:rPr>
          <w:rFonts w:ascii="Times New Roman" w:hAnsi="Times New Roman" w:cs="Times New Roman"/>
          <w:sz w:val="30"/>
          <w:szCs w:val="30"/>
        </w:rPr>
        <w:t>.</w:t>
      </w:r>
    </w:p>
    <w:p w:rsidR="00E1111C" w:rsidRPr="007E19FF" w:rsidRDefault="00545666" w:rsidP="00E1111C">
      <w:pPr>
        <w:tabs>
          <w:tab w:val="left" w:pos="2925"/>
        </w:tabs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E19FF">
        <w:rPr>
          <w:rFonts w:ascii="Times New Roman" w:hAnsi="Times New Roman" w:cs="Times New Roman"/>
          <w:sz w:val="30"/>
          <w:szCs w:val="30"/>
        </w:rPr>
        <w:t>По статистике последних пяти</w:t>
      </w:r>
      <w:r w:rsidR="00E1111C" w:rsidRPr="007E19FF">
        <w:rPr>
          <w:rFonts w:ascii="Times New Roman" w:hAnsi="Times New Roman" w:cs="Times New Roman"/>
          <w:sz w:val="30"/>
          <w:szCs w:val="30"/>
        </w:rPr>
        <w:t xml:space="preserve"> лет, количество докладов сотрудников ПЦПИ</w:t>
      </w:r>
      <w:r w:rsidRPr="007E19FF">
        <w:rPr>
          <w:rFonts w:ascii="Times New Roman" w:hAnsi="Times New Roman" w:cs="Times New Roman"/>
          <w:sz w:val="30"/>
          <w:szCs w:val="30"/>
        </w:rPr>
        <w:t xml:space="preserve"> имеет тенденцию к сокращению</w:t>
      </w:r>
      <w:r w:rsidR="0072634A" w:rsidRPr="007E19FF">
        <w:rPr>
          <w:rFonts w:ascii="Times New Roman" w:hAnsi="Times New Roman" w:cs="Times New Roman"/>
          <w:sz w:val="30"/>
          <w:szCs w:val="30"/>
        </w:rPr>
        <w:t xml:space="preserve"> (рис. 8)</w:t>
      </w:r>
      <w:r w:rsidR="00E1111C" w:rsidRPr="007E19F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1111C" w:rsidRPr="007E19FF" w:rsidRDefault="00AA3152" w:rsidP="00E1111C">
      <w:pPr>
        <w:tabs>
          <w:tab w:val="left" w:pos="2925"/>
        </w:tabs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E19FF">
        <w:rPr>
          <w:rFonts w:ascii="Times New Roman" w:hAnsi="Times New Roman" w:cs="Times New Roman"/>
          <w:sz w:val="30"/>
          <w:szCs w:val="30"/>
        </w:rPr>
        <w:t>Так,</w:t>
      </w:r>
      <w:r w:rsidR="00E1111C" w:rsidRPr="007E19FF">
        <w:rPr>
          <w:rFonts w:ascii="Times New Roman" w:hAnsi="Times New Roman" w:cs="Times New Roman"/>
          <w:sz w:val="30"/>
          <w:szCs w:val="30"/>
        </w:rPr>
        <w:t xml:space="preserve"> количество публикаций увеличилось на 139%, </w:t>
      </w:r>
      <w:r w:rsidR="006B67E6" w:rsidRPr="007E19FF">
        <w:rPr>
          <w:rFonts w:ascii="Times New Roman" w:hAnsi="Times New Roman" w:cs="Times New Roman"/>
          <w:sz w:val="30"/>
          <w:szCs w:val="30"/>
        </w:rPr>
        <w:t xml:space="preserve">а </w:t>
      </w:r>
      <w:r w:rsidR="00E1111C" w:rsidRPr="007E19FF">
        <w:rPr>
          <w:rFonts w:ascii="Times New Roman" w:hAnsi="Times New Roman" w:cs="Times New Roman"/>
          <w:sz w:val="30"/>
          <w:szCs w:val="30"/>
        </w:rPr>
        <w:t xml:space="preserve">количество выступлений – сократилось на 47%, в то время как количество ПЦПИ </w:t>
      </w:r>
      <w:r w:rsidR="003712FE" w:rsidRPr="007E19FF">
        <w:rPr>
          <w:rFonts w:ascii="Times New Roman" w:hAnsi="Times New Roman" w:cs="Times New Roman"/>
          <w:sz w:val="30"/>
          <w:szCs w:val="30"/>
        </w:rPr>
        <w:t>за этот период увеличилось на 8</w:t>
      </w:r>
      <w:r w:rsidR="00E1111C" w:rsidRPr="007E19FF">
        <w:rPr>
          <w:rFonts w:ascii="Times New Roman" w:hAnsi="Times New Roman" w:cs="Times New Roman"/>
          <w:sz w:val="30"/>
          <w:szCs w:val="30"/>
        </w:rPr>
        <w:t>%.</w:t>
      </w:r>
    </w:p>
    <w:p w:rsidR="006B67E6" w:rsidRPr="007E19FF" w:rsidRDefault="006B67E6" w:rsidP="00E1111C">
      <w:pPr>
        <w:tabs>
          <w:tab w:val="left" w:pos="2925"/>
        </w:tabs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805949" w:rsidRPr="007E19FF" w:rsidRDefault="00805949" w:rsidP="00805949">
      <w:pPr>
        <w:tabs>
          <w:tab w:val="left" w:pos="2925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E19F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47160" cy="2514600"/>
            <wp:effectExtent l="0" t="0" r="1524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05949" w:rsidRPr="007E19FF" w:rsidRDefault="00805949" w:rsidP="00805949">
      <w:pPr>
        <w:rPr>
          <w:rFonts w:ascii="Times New Roman" w:hAnsi="Times New Roman" w:cs="Times New Roman"/>
          <w:sz w:val="28"/>
          <w:szCs w:val="28"/>
        </w:rPr>
      </w:pPr>
    </w:p>
    <w:p w:rsidR="00805949" w:rsidRPr="007E19FF" w:rsidRDefault="0072634A" w:rsidP="00AA3152">
      <w:pPr>
        <w:tabs>
          <w:tab w:val="left" w:pos="3540"/>
        </w:tabs>
        <w:jc w:val="center"/>
        <w:rPr>
          <w:rFonts w:ascii="Times New Roman" w:hAnsi="Times New Roman" w:cs="Times New Roman"/>
        </w:rPr>
      </w:pPr>
      <w:r w:rsidRPr="007E19FF">
        <w:rPr>
          <w:rFonts w:ascii="Times New Roman" w:hAnsi="Times New Roman" w:cs="Times New Roman"/>
        </w:rPr>
        <w:t>Рис. 8</w:t>
      </w:r>
      <w:r w:rsidR="00805949" w:rsidRPr="007E19FF">
        <w:rPr>
          <w:rFonts w:ascii="Times New Roman" w:hAnsi="Times New Roman" w:cs="Times New Roman"/>
        </w:rPr>
        <w:t xml:space="preserve"> Деятельность сотрудников ПЦПИ</w:t>
      </w:r>
      <w:r w:rsidR="00BC68C1">
        <w:rPr>
          <w:rFonts w:ascii="Times New Roman" w:hAnsi="Times New Roman" w:cs="Times New Roman"/>
        </w:rPr>
        <w:t xml:space="preserve"> по популяризации центров, 2016–</w:t>
      </w:r>
      <w:bookmarkStart w:id="0" w:name="_GoBack"/>
      <w:bookmarkEnd w:id="0"/>
      <w:r w:rsidR="00805949" w:rsidRPr="007E19FF">
        <w:rPr>
          <w:rFonts w:ascii="Times New Roman" w:hAnsi="Times New Roman" w:cs="Times New Roman"/>
        </w:rPr>
        <w:t>2020 гг.</w:t>
      </w:r>
    </w:p>
    <w:p w:rsidR="00AA3152" w:rsidRPr="007E19FF" w:rsidRDefault="0027162C" w:rsidP="008A51E3">
      <w:pPr>
        <w:tabs>
          <w:tab w:val="left" w:pos="2925"/>
        </w:tabs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E19FF">
        <w:rPr>
          <w:rFonts w:ascii="Times New Roman" w:hAnsi="Times New Roman" w:cs="Times New Roman"/>
          <w:sz w:val="30"/>
          <w:szCs w:val="30"/>
        </w:rPr>
        <w:t xml:space="preserve">С целью укрепления роли публичных библиотек в формировании правовой культуры граждан, распространения идей гражданственности и патриотизма, стимулирования творческой инициативы работников публичных центров правовой информации в рамках профессиональной деятельности </w:t>
      </w:r>
      <w:r w:rsidR="008A51E3" w:rsidRPr="007E19FF">
        <w:rPr>
          <w:rFonts w:ascii="Times New Roman" w:hAnsi="Times New Roman" w:cs="Times New Roman"/>
          <w:sz w:val="30"/>
          <w:szCs w:val="30"/>
        </w:rPr>
        <w:t xml:space="preserve">в анализируемый период были организованы и проведены профессиональные конкурсы среди ПЦПИ. </w:t>
      </w:r>
    </w:p>
    <w:p w:rsidR="00AD6BEA" w:rsidRPr="007E19FF" w:rsidRDefault="00BB7DD2" w:rsidP="008A51E3">
      <w:pPr>
        <w:tabs>
          <w:tab w:val="left" w:pos="2925"/>
        </w:tabs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E19FF">
        <w:rPr>
          <w:rFonts w:ascii="Times New Roman" w:hAnsi="Times New Roman" w:cs="Times New Roman"/>
          <w:sz w:val="30"/>
          <w:szCs w:val="30"/>
        </w:rPr>
        <w:t>Так, в 2016 г.</w:t>
      </w:r>
      <w:r w:rsidR="008A51E3" w:rsidRPr="007E19FF">
        <w:rPr>
          <w:rFonts w:ascii="Times New Roman" w:hAnsi="Times New Roman" w:cs="Times New Roman"/>
          <w:sz w:val="30"/>
          <w:szCs w:val="30"/>
        </w:rPr>
        <w:t xml:space="preserve"> проведен областной конкурс «Лучший публичный центр правовой информации Витебской области»</w:t>
      </w:r>
      <w:r w:rsidR="00AD6BEA" w:rsidRPr="007E19FF">
        <w:rPr>
          <w:rFonts w:ascii="Times New Roman" w:hAnsi="Times New Roman" w:cs="Times New Roman"/>
          <w:sz w:val="30"/>
          <w:szCs w:val="30"/>
        </w:rPr>
        <w:t xml:space="preserve">. Его проведение </w:t>
      </w:r>
      <w:r w:rsidR="00AA3152" w:rsidRPr="007E19FF">
        <w:rPr>
          <w:rFonts w:ascii="Times New Roman" w:hAnsi="Times New Roman" w:cs="Times New Roman"/>
          <w:sz w:val="30"/>
          <w:szCs w:val="30"/>
        </w:rPr>
        <w:t>продемонстрировало</w:t>
      </w:r>
      <w:r w:rsidR="00AD6BEA" w:rsidRPr="007E19FF">
        <w:rPr>
          <w:rFonts w:ascii="Times New Roman" w:hAnsi="Times New Roman" w:cs="Times New Roman"/>
          <w:sz w:val="30"/>
          <w:szCs w:val="30"/>
        </w:rPr>
        <w:t xml:space="preserve"> значимость и результативность работы центров в направлении правового просвещения граждан</w:t>
      </w:r>
      <w:r w:rsidR="00AA3152" w:rsidRPr="007E19FF">
        <w:rPr>
          <w:rFonts w:ascii="Times New Roman" w:hAnsi="Times New Roman" w:cs="Times New Roman"/>
          <w:sz w:val="30"/>
          <w:szCs w:val="30"/>
        </w:rPr>
        <w:t>, а также</w:t>
      </w:r>
      <w:r w:rsidR="00AD6BEA" w:rsidRPr="007E19FF">
        <w:rPr>
          <w:rFonts w:ascii="Times New Roman" w:hAnsi="Times New Roman" w:cs="Times New Roman"/>
          <w:sz w:val="30"/>
          <w:szCs w:val="30"/>
        </w:rPr>
        <w:t xml:space="preserve"> стало отправной точкой для организации </w:t>
      </w:r>
      <w:r w:rsidR="006B67E6" w:rsidRPr="007E19FF">
        <w:rPr>
          <w:rFonts w:ascii="Times New Roman" w:hAnsi="Times New Roman" w:cs="Times New Roman"/>
          <w:sz w:val="30"/>
          <w:szCs w:val="30"/>
        </w:rPr>
        <w:t>подобн</w:t>
      </w:r>
      <w:r w:rsidR="00AD6BEA" w:rsidRPr="007E19FF">
        <w:rPr>
          <w:rFonts w:ascii="Times New Roman" w:hAnsi="Times New Roman" w:cs="Times New Roman"/>
          <w:sz w:val="30"/>
          <w:szCs w:val="30"/>
        </w:rPr>
        <w:t>ого конкурса на республиканском уровне.</w:t>
      </w:r>
    </w:p>
    <w:p w:rsidR="00B46FB3" w:rsidRPr="007E19FF" w:rsidRDefault="00AD6BEA" w:rsidP="00EA0F6F">
      <w:pPr>
        <w:tabs>
          <w:tab w:val="left" w:pos="2925"/>
        </w:tabs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E19FF">
        <w:rPr>
          <w:rFonts w:ascii="Times New Roman" w:hAnsi="Times New Roman" w:cs="Times New Roman"/>
          <w:sz w:val="30"/>
          <w:szCs w:val="30"/>
        </w:rPr>
        <w:t>В</w:t>
      </w:r>
      <w:r w:rsidR="008A51E3" w:rsidRPr="007E19FF">
        <w:rPr>
          <w:rFonts w:ascii="Times New Roman" w:hAnsi="Times New Roman" w:cs="Times New Roman"/>
          <w:sz w:val="30"/>
          <w:szCs w:val="30"/>
        </w:rPr>
        <w:t xml:space="preserve"> </w:t>
      </w:r>
      <w:r w:rsidR="00BB7DD2" w:rsidRPr="007E19FF">
        <w:rPr>
          <w:rFonts w:ascii="Times New Roman" w:hAnsi="Times New Roman" w:cs="Times New Roman"/>
          <w:sz w:val="30"/>
          <w:szCs w:val="30"/>
        </w:rPr>
        <w:t>2018 г.</w:t>
      </w:r>
      <w:r w:rsidR="0027162C" w:rsidRPr="007E19FF">
        <w:rPr>
          <w:rFonts w:ascii="Times New Roman" w:hAnsi="Times New Roman" w:cs="Times New Roman"/>
          <w:sz w:val="30"/>
          <w:szCs w:val="30"/>
        </w:rPr>
        <w:t xml:space="preserve"> </w:t>
      </w:r>
      <w:r w:rsidR="00EA0F6F" w:rsidRPr="007E19FF">
        <w:rPr>
          <w:rFonts w:ascii="Times New Roman" w:hAnsi="Times New Roman" w:cs="Times New Roman"/>
          <w:sz w:val="30"/>
          <w:szCs w:val="30"/>
        </w:rPr>
        <w:t xml:space="preserve">Национальным центром правовой информации Республики Беларусь совместно с Министерством культуры Республики Беларусь, государственным учреждением «Национальная библиотека Беларуси», общественными объединениями «Белорусский республиканский союз юристов» и «Белорусская библиотечная ассоциация» </w:t>
      </w:r>
      <w:r w:rsidR="0027162C" w:rsidRPr="007E19FF">
        <w:rPr>
          <w:rFonts w:ascii="Times New Roman" w:hAnsi="Times New Roman" w:cs="Times New Roman"/>
          <w:sz w:val="30"/>
          <w:szCs w:val="30"/>
        </w:rPr>
        <w:t xml:space="preserve">впервые </w:t>
      </w:r>
      <w:r w:rsidRPr="007E19FF">
        <w:rPr>
          <w:rFonts w:ascii="Times New Roman" w:hAnsi="Times New Roman" w:cs="Times New Roman"/>
          <w:sz w:val="30"/>
          <w:szCs w:val="30"/>
        </w:rPr>
        <w:t xml:space="preserve">был </w:t>
      </w:r>
      <w:r w:rsidR="0027162C" w:rsidRPr="007E19FF">
        <w:rPr>
          <w:rFonts w:ascii="Times New Roman" w:hAnsi="Times New Roman" w:cs="Times New Roman"/>
          <w:sz w:val="30"/>
          <w:szCs w:val="30"/>
        </w:rPr>
        <w:t>организован</w:t>
      </w:r>
      <w:r w:rsidR="00EA0F6F" w:rsidRPr="007E19FF">
        <w:rPr>
          <w:rFonts w:ascii="Times New Roman" w:hAnsi="Times New Roman" w:cs="Times New Roman"/>
          <w:sz w:val="30"/>
          <w:szCs w:val="30"/>
        </w:rPr>
        <w:t xml:space="preserve"> и проведен</w:t>
      </w:r>
      <w:r w:rsidR="0027162C" w:rsidRPr="007E19FF">
        <w:rPr>
          <w:rFonts w:ascii="Times New Roman" w:hAnsi="Times New Roman" w:cs="Times New Roman"/>
          <w:sz w:val="30"/>
          <w:szCs w:val="30"/>
        </w:rPr>
        <w:t xml:space="preserve"> Республиканский конкурс «Лучший публичный центр правовой информации». </w:t>
      </w:r>
    </w:p>
    <w:p w:rsidR="0027162C" w:rsidRPr="007E19FF" w:rsidRDefault="00EA0F6F" w:rsidP="00C06EEC">
      <w:pPr>
        <w:tabs>
          <w:tab w:val="left" w:pos="2925"/>
        </w:tabs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E19FF">
        <w:rPr>
          <w:rFonts w:ascii="Times New Roman" w:hAnsi="Times New Roman" w:cs="Times New Roman"/>
          <w:sz w:val="30"/>
          <w:szCs w:val="30"/>
        </w:rPr>
        <w:t>Он</w:t>
      </w:r>
      <w:r w:rsidR="0027162C" w:rsidRPr="007E19FF">
        <w:rPr>
          <w:rFonts w:ascii="Times New Roman" w:hAnsi="Times New Roman" w:cs="Times New Roman"/>
          <w:sz w:val="30"/>
          <w:szCs w:val="30"/>
        </w:rPr>
        <w:t xml:space="preserve"> являлся открытым и проводился в один этап </w:t>
      </w:r>
      <w:r w:rsidR="00C06EEC" w:rsidRPr="007E19FF">
        <w:rPr>
          <w:rFonts w:ascii="Times New Roman" w:hAnsi="Times New Roman" w:cs="Times New Roman"/>
          <w:sz w:val="30"/>
          <w:szCs w:val="30"/>
        </w:rPr>
        <w:t>на протяжении восьми месяцев</w:t>
      </w:r>
      <w:r w:rsidR="0027162C" w:rsidRPr="007E19FF">
        <w:rPr>
          <w:rFonts w:ascii="Times New Roman" w:hAnsi="Times New Roman" w:cs="Times New Roman"/>
          <w:sz w:val="30"/>
          <w:szCs w:val="30"/>
        </w:rPr>
        <w:t xml:space="preserve"> </w:t>
      </w:r>
      <w:r w:rsidR="00C06EEC" w:rsidRPr="007E19FF">
        <w:rPr>
          <w:rFonts w:ascii="Times New Roman" w:hAnsi="Times New Roman" w:cs="Times New Roman"/>
          <w:sz w:val="30"/>
          <w:szCs w:val="30"/>
        </w:rPr>
        <w:t>по следующим номинациям:</w:t>
      </w:r>
    </w:p>
    <w:p w:rsidR="0027162C" w:rsidRPr="007E19FF" w:rsidRDefault="0027162C" w:rsidP="0027162C">
      <w:pPr>
        <w:tabs>
          <w:tab w:val="left" w:pos="2925"/>
        </w:tabs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E19FF">
        <w:rPr>
          <w:rFonts w:ascii="Times New Roman" w:hAnsi="Times New Roman" w:cs="Times New Roman"/>
          <w:sz w:val="30"/>
          <w:szCs w:val="30"/>
        </w:rPr>
        <w:t>Лучший ПЦПИ на базе областной библиотеки;</w:t>
      </w:r>
    </w:p>
    <w:p w:rsidR="0027162C" w:rsidRPr="007E19FF" w:rsidRDefault="0027162C" w:rsidP="0027162C">
      <w:pPr>
        <w:tabs>
          <w:tab w:val="left" w:pos="2925"/>
        </w:tabs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E19FF">
        <w:rPr>
          <w:rFonts w:ascii="Times New Roman" w:hAnsi="Times New Roman" w:cs="Times New Roman"/>
          <w:sz w:val="30"/>
          <w:szCs w:val="30"/>
        </w:rPr>
        <w:t>Лучший ПЦПИ на базе центральной районной (городской) библиотеки;</w:t>
      </w:r>
    </w:p>
    <w:p w:rsidR="0027162C" w:rsidRPr="007E19FF" w:rsidRDefault="0027162C" w:rsidP="0027162C">
      <w:pPr>
        <w:tabs>
          <w:tab w:val="left" w:pos="2925"/>
        </w:tabs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E19FF">
        <w:rPr>
          <w:rFonts w:ascii="Times New Roman" w:hAnsi="Times New Roman" w:cs="Times New Roman"/>
          <w:sz w:val="30"/>
          <w:szCs w:val="30"/>
        </w:rPr>
        <w:t>Лучший ПЦПИ на базе городской (</w:t>
      </w:r>
      <w:proofErr w:type="spellStart"/>
      <w:r w:rsidRPr="007E19FF">
        <w:rPr>
          <w:rFonts w:ascii="Times New Roman" w:hAnsi="Times New Roman" w:cs="Times New Roman"/>
          <w:sz w:val="30"/>
          <w:szCs w:val="30"/>
        </w:rPr>
        <w:t>горпоселковой</w:t>
      </w:r>
      <w:proofErr w:type="spellEnd"/>
      <w:r w:rsidRPr="007E19FF">
        <w:rPr>
          <w:rFonts w:ascii="Times New Roman" w:hAnsi="Times New Roman" w:cs="Times New Roman"/>
          <w:sz w:val="30"/>
          <w:szCs w:val="30"/>
        </w:rPr>
        <w:t>) библиотеки;</w:t>
      </w:r>
    </w:p>
    <w:p w:rsidR="0027162C" w:rsidRPr="007E19FF" w:rsidRDefault="0027162C" w:rsidP="0027162C">
      <w:pPr>
        <w:tabs>
          <w:tab w:val="left" w:pos="2925"/>
        </w:tabs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E19FF">
        <w:rPr>
          <w:rFonts w:ascii="Times New Roman" w:hAnsi="Times New Roman" w:cs="Times New Roman"/>
          <w:sz w:val="30"/>
          <w:szCs w:val="30"/>
        </w:rPr>
        <w:t>Лучший ПЦПИ на базе детской библиотеки;</w:t>
      </w:r>
    </w:p>
    <w:p w:rsidR="0027162C" w:rsidRPr="007E19FF" w:rsidRDefault="0027162C" w:rsidP="0027162C">
      <w:pPr>
        <w:tabs>
          <w:tab w:val="left" w:pos="2925"/>
        </w:tabs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E19FF">
        <w:rPr>
          <w:rFonts w:ascii="Times New Roman" w:hAnsi="Times New Roman" w:cs="Times New Roman"/>
          <w:sz w:val="30"/>
          <w:szCs w:val="30"/>
        </w:rPr>
        <w:lastRenderedPageBreak/>
        <w:t>Лучший ПЦПИ на базе сельской библиотеки.</w:t>
      </w:r>
    </w:p>
    <w:p w:rsidR="00B46FB3" w:rsidRPr="007E19FF" w:rsidRDefault="00B46FB3" w:rsidP="0027162C">
      <w:pPr>
        <w:tabs>
          <w:tab w:val="left" w:pos="2925"/>
        </w:tabs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E19FF">
        <w:rPr>
          <w:rFonts w:ascii="Times New Roman" w:hAnsi="Times New Roman" w:cs="Times New Roman"/>
          <w:sz w:val="30"/>
          <w:szCs w:val="30"/>
        </w:rPr>
        <w:t xml:space="preserve">По результатам заседания жюри призовые места получили 15 библиотек </w:t>
      </w:r>
      <w:r w:rsidR="00115FA4" w:rsidRPr="007E19FF">
        <w:rPr>
          <w:rFonts w:ascii="Times New Roman" w:hAnsi="Times New Roman" w:cs="Times New Roman"/>
          <w:sz w:val="30"/>
          <w:szCs w:val="30"/>
        </w:rPr>
        <w:t xml:space="preserve">из 52 участников </w:t>
      </w:r>
      <w:r w:rsidRPr="007E19FF">
        <w:rPr>
          <w:rFonts w:ascii="Times New Roman" w:hAnsi="Times New Roman" w:cs="Times New Roman"/>
          <w:sz w:val="30"/>
          <w:szCs w:val="30"/>
        </w:rPr>
        <w:t>(</w:t>
      </w:r>
      <w:r w:rsidR="0070304F" w:rsidRPr="007E19FF">
        <w:rPr>
          <w:rFonts w:ascii="Times New Roman" w:hAnsi="Times New Roman" w:cs="Times New Roman"/>
          <w:sz w:val="30"/>
          <w:szCs w:val="30"/>
        </w:rPr>
        <w:t xml:space="preserve">5 библиотек Витебской области, 4 – Гродненской, 3 </w:t>
      </w:r>
      <w:r w:rsidR="00EA0F6F" w:rsidRPr="007E19FF">
        <w:rPr>
          <w:rFonts w:ascii="Times New Roman" w:hAnsi="Times New Roman" w:cs="Times New Roman"/>
          <w:sz w:val="30"/>
          <w:szCs w:val="30"/>
        </w:rPr>
        <w:t>– М</w:t>
      </w:r>
      <w:r w:rsidR="00AA3152" w:rsidRPr="007E19FF">
        <w:rPr>
          <w:rFonts w:ascii="Times New Roman" w:hAnsi="Times New Roman" w:cs="Times New Roman"/>
          <w:sz w:val="30"/>
          <w:szCs w:val="30"/>
        </w:rPr>
        <w:t>инской</w:t>
      </w:r>
      <w:r w:rsidR="0070304F" w:rsidRPr="007E19FF">
        <w:rPr>
          <w:rFonts w:ascii="Times New Roman" w:hAnsi="Times New Roman" w:cs="Times New Roman"/>
          <w:sz w:val="30"/>
          <w:szCs w:val="30"/>
        </w:rPr>
        <w:t xml:space="preserve">, 2 </w:t>
      </w:r>
      <w:r w:rsidR="00EA0F6F" w:rsidRPr="007E19FF">
        <w:rPr>
          <w:rFonts w:ascii="Times New Roman" w:hAnsi="Times New Roman" w:cs="Times New Roman"/>
          <w:sz w:val="30"/>
          <w:szCs w:val="30"/>
        </w:rPr>
        <w:t>–</w:t>
      </w:r>
      <w:r w:rsidR="0070304F" w:rsidRPr="007E19FF">
        <w:rPr>
          <w:rFonts w:ascii="Times New Roman" w:hAnsi="Times New Roman" w:cs="Times New Roman"/>
          <w:sz w:val="30"/>
          <w:szCs w:val="30"/>
        </w:rPr>
        <w:t xml:space="preserve"> Гомельской и </w:t>
      </w:r>
      <w:r w:rsidR="00EA0F6F" w:rsidRPr="007E19FF">
        <w:rPr>
          <w:rFonts w:ascii="Times New Roman" w:hAnsi="Times New Roman" w:cs="Times New Roman"/>
          <w:sz w:val="30"/>
          <w:szCs w:val="30"/>
        </w:rPr>
        <w:t>1–</w:t>
      </w:r>
      <w:r w:rsidR="0070304F" w:rsidRPr="007E19FF">
        <w:rPr>
          <w:rFonts w:ascii="Times New Roman" w:hAnsi="Times New Roman" w:cs="Times New Roman"/>
          <w:sz w:val="30"/>
          <w:szCs w:val="30"/>
        </w:rPr>
        <w:t xml:space="preserve"> г. Минска</w:t>
      </w:r>
      <w:r w:rsidRPr="007E19FF">
        <w:rPr>
          <w:rFonts w:ascii="Times New Roman" w:hAnsi="Times New Roman" w:cs="Times New Roman"/>
          <w:sz w:val="30"/>
          <w:szCs w:val="30"/>
        </w:rPr>
        <w:t>)</w:t>
      </w:r>
      <w:r w:rsidR="0070304F" w:rsidRPr="007E19FF">
        <w:rPr>
          <w:rFonts w:ascii="Times New Roman" w:hAnsi="Times New Roman" w:cs="Times New Roman"/>
          <w:sz w:val="30"/>
          <w:szCs w:val="30"/>
        </w:rPr>
        <w:t>.</w:t>
      </w:r>
    </w:p>
    <w:p w:rsidR="00B77AB0" w:rsidRPr="007E19FF" w:rsidRDefault="00AA3152" w:rsidP="0027162C">
      <w:pPr>
        <w:tabs>
          <w:tab w:val="left" w:pos="2925"/>
        </w:tabs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E19FF">
        <w:rPr>
          <w:rFonts w:ascii="Times New Roman" w:hAnsi="Times New Roman" w:cs="Times New Roman"/>
          <w:sz w:val="30"/>
          <w:szCs w:val="30"/>
        </w:rPr>
        <w:t>Содержание конкурсных работ</w:t>
      </w:r>
      <w:r w:rsidR="00B77AB0" w:rsidRPr="007E19FF">
        <w:rPr>
          <w:rFonts w:ascii="Times New Roman" w:hAnsi="Times New Roman" w:cs="Times New Roman"/>
          <w:sz w:val="30"/>
          <w:szCs w:val="30"/>
        </w:rPr>
        <w:t xml:space="preserve"> </w:t>
      </w:r>
      <w:r w:rsidRPr="007E19FF">
        <w:rPr>
          <w:rFonts w:ascii="Times New Roman" w:hAnsi="Times New Roman" w:cs="Times New Roman"/>
          <w:sz w:val="30"/>
          <w:szCs w:val="30"/>
        </w:rPr>
        <w:t>наглядно продемонстрировало</w:t>
      </w:r>
      <w:r w:rsidR="00B77AB0" w:rsidRPr="007E19FF">
        <w:rPr>
          <w:rFonts w:ascii="Times New Roman" w:hAnsi="Times New Roman" w:cs="Times New Roman"/>
          <w:sz w:val="30"/>
          <w:szCs w:val="30"/>
        </w:rPr>
        <w:t xml:space="preserve"> </w:t>
      </w:r>
      <w:r w:rsidRPr="007E19FF">
        <w:rPr>
          <w:rFonts w:ascii="Times New Roman" w:hAnsi="Times New Roman" w:cs="Times New Roman"/>
          <w:sz w:val="30"/>
          <w:szCs w:val="30"/>
        </w:rPr>
        <w:t>эффективную деятельность</w:t>
      </w:r>
      <w:r w:rsidR="00B77AB0" w:rsidRPr="007E19FF">
        <w:rPr>
          <w:rFonts w:ascii="Times New Roman" w:hAnsi="Times New Roman" w:cs="Times New Roman"/>
          <w:sz w:val="30"/>
          <w:szCs w:val="30"/>
        </w:rPr>
        <w:t xml:space="preserve"> центров </w:t>
      </w:r>
      <w:r w:rsidRPr="007E19FF">
        <w:rPr>
          <w:rFonts w:ascii="Times New Roman" w:hAnsi="Times New Roman" w:cs="Times New Roman"/>
          <w:sz w:val="30"/>
          <w:szCs w:val="30"/>
        </w:rPr>
        <w:t>и боль</w:t>
      </w:r>
      <w:r w:rsidR="00BB7DD2" w:rsidRPr="007E19FF">
        <w:rPr>
          <w:rFonts w:ascii="Times New Roman" w:hAnsi="Times New Roman" w:cs="Times New Roman"/>
          <w:sz w:val="30"/>
          <w:szCs w:val="30"/>
        </w:rPr>
        <w:t>шой творческий потенциал</w:t>
      </w:r>
      <w:r w:rsidRPr="007E19FF">
        <w:rPr>
          <w:rFonts w:ascii="Times New Roman" w:hAnsi="Times New Roman" w:cs="Times New Roman"/>
          <w:sz w:val="30"/>
          <w:szCs w:val="30"/>
        </w:rPr>
        <w:t xml:space="preserve"> их сотрудников. </w:t>
      </w:r>
    </w:p>
    <w:p w:rsidR="00EA0F6F" w:rsidRPr="007E19FF" w:rsidRDefault="00AA3152" w:rsidP="00C473B3">
      <w:pPr>
        <w:tabs>
          <w:tab w:val="left" w:pos="2925"/>
        </w:tabs>
        <w:spacing w:after="0"/>
        <w:ind w:firstLine="993"/>
        <w:jc w:val="both"/>
        <w:rPr>
          <w:rFonts w:ascii="Times New Roman" w:hAnsi="Times New Roman" w:cs="Times New Roman"/>
          <w:sz w:val="30"/>
          <w:szCs w:val="30"/>
        </w:rPr>
      </w:pPr>
      <w:r w:rsidRPr="007E19FF">
        <w:rPr>
          <w:rFonts w:ascii="Times New Roman" w:hAnsi="Times New Roman" w:cs="Times New Roman"/>
          <w:sz w:val="30"/>
          <w:szCs w:val="30"/>
        </w:rPr>
        <w:t>Более</w:t>
      </w:r>
      <w:r w:rsidR="00C473B3" w:rsidRPr="007E19FF">
        <w:rPr>
          <w:rFonts w:ascii="Times New Roman" w:hAnsi="Times New Roman" w:cs="Times New Roman"/>
          <w:sz w:val="30"/>
          <w:szCs w:val="30"/>
        </w:rPr>
        <w:t xml:space="preserve"> 20 лет правовые центры на базе публичных библиотек ведут плодотворную работу по информационно-правовому обеспечению пользователей, заняв тем самым свою нишу в системе правового просвещения граждан. </w:t>
      </w:r>
    </w:p>
    <w:p w:rsidR="00805949" w:rsidRPr="007E19FF" w:rsidRDefault="00AA3152" w:rsidP="00805949">
      <w:pPr>
        <w:tabs>
          <w:tab w:val="left" w:pos="2925"/>
        </w:tabs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E19FF">
        <w:rPr>
          <w:rFonts w:ascii="Times New Roman" w:hAnsi="Times New Roman" w:cs="Times New Roman"/>
          <w:sz w:val="30"/>
          <w:szCs w:val="30"/>
        </w:rPr>
        <w:t>Анализ деятельности</w:t>
      </w:r>
      <w:r w:rsidR="000706D0" w:rsidRPr="007E19FF">
        <w:rPr>
          <w:rFonts w:ascii="Times New Roman" w:hAnsi="Times New Roman" w:cs="Times New Roman"/>
          <w:sz w:val="30"/>
          <w:szCs w:val="30"/>
        </w:rPr>
        <w:t xml:space="preserve"> </w:t>
      </w:r>
      <w:r w:rsidRPr="007E19FF">
        <w:rPr>
          <w:rFonts w:ascii="Times New Roman" w:hAnsi="Times New Roman" w:cs="Times New Roman"/>
          <w:sz w:val="30"/>
          <w:szCs w:val="30"/>
        </w:rPr>
        <w:t>ПЦПИ</w:t>
      </w:r>
      <w:r w:rsidR="000706D0" w:rsidRPr="007E19FF">
        <w:rPr>
          <w:rFonts w:ascii="Times New Roman" w:hAnsi="Times New Roman" w:cs="Times New Roman"/>
          <w:sz w:val="30"/>
          <w:szCs w:val="30"/>
        </w:rPr>
        <w:t xml:space="preserve"> страны за последние пять лет</w:t>
      </w:r>
      <w:r w:rsidRPr="007E19FF">
        <w:rPr>
          <w:rFonts w:ascii="Times New Roman" w:hAnsi="Times New Roman" w:cs="Times New Roman"/>
          <w:sz w:val="30"/>
          <w:szCs w:val="30"/>
        </w:rPr>
        <w:t xml:space="preserve"> позволяет</w:t>
      </w:r>
      <w:r w:rsidR="000706D0" w:rsidRPr="007E19FF">
        <w:rPr>
          <w:rFonts w:ascii="Times New Roman" w:hAnsi="Times New Roman" w:cs="Times New Roman"/>
          <w:sz w:val="30"/>
          <w:szCs w:val="30"/>
        </w:rPr>
        <w:t xml:space="preserve"> </w:t>
      </w:r>
      <w:r w:rsidR="0072634A" w:rsidRPr="007E19FF">
        <w:rPr>
          <w:rFonts w:ascii="Times New Roman" w:hAnsi="Times New Roman" w:cs="Times New Roman"/>
          <w:sz w:val="30"/>
          <w:szCs w:val="30"/>
        </w:rPr>
        <w:t>констатировать</w:t>
      </w:r>
      <w:r w:rsidR="000706D0" w:rsidRPr="007E19FF">
        <w:rPr>
          <w:rFonts w:ascii="Times New Roman" w:hAnsi="Times New Roman" w:cs="Times New Roman"/>
          <w:sz w:val="30"/>
          <w:szCs w:val="30"/>
        </w:rPr>
        <w:t xml:space="preserve">, что система </w:t>
      </w:r>
      <w:r w:rsidR="00BB7DD2" w:rsidRPr="007E19FF">
        <w:rPr>
          <w:rFonts w:ascii="Times New Roman" w:hAnsi="Times New Roman" w:cs="Times New Roman"/>
          <w:sz w:val="30"/>
          <w:szCs w:val="30"/>
        </w:rPr>
        <w:t>центров</w:t>
      </w:r>
      <w:r w:rsidR="000706D0" w:rsidRPr="007E19FF">
        <w:rPr>
          <w:rFonts w:ascii="Times New Roman" w:hAnsi="Times New Roman" w:cs="Times New Roman"/>
          <w:sz w:val="30"/>
          <w:szCs w:val="30"/>
        </w:rPr>
        <w:t xml:space="preserve"> успешно функционирует и развивается</w:t>
      </w:r>
      <w:r w:rsidR="001F5006" w:rsidRPr="007E19FF">
        <w:rPr>
          <w:rFonts w:ascii="Times New Roman" w:hAnsi="Times New Roman" w:cs="Times New Roman"/>
          <w:sz w:val="30"/>
          <w:szCs w:val="30"/>
        </w:rPr>
        <w:t>, обеспечивая равные возможности всем гражданам повышать свою социальную а</w:t>
      </w:r>
      <w:r w:rsidR="00B77AB0" w:rsidRPr="007E19FF">
        <w:rPr>
          <w:rFonts w:ascii="Times New Roman" w:hAnsi="Times New Roman" w:cs="Times New Roman"/>
          <w:sz w:val="30"/>
          <w:szCs w:val="30"/>
        </w:rPr>
        <w:t>к</w:t>
      </w:r>
      <w:r w:rsidR="001F5006" w:rsidRPr="007E19FF">
        <w:rPr>
          <w:rFonts w:ascii="Times New Roman" w:hAnsi="Times New Roman" w:cs="Times New Roman"/>
          <w:sz w:val="30"/>
          <w:szCs w:val="30"/>
        </w:rPr>
        <w:t>тивность в качестве субъектов правовых отношений, реализовывать свои права и свободы</w:t>
      </w:r>
      <w:r w:rsidR="00BB7DD2" w:rsidRPr="007E19FF">
        <w:rPr>
          <w:rFonts w:ascii="Times New Roman" w:hAnsi="Times New Roman" w:cs="Times New Roman"/>
          <w:sz w:val="30"/>
          <w:szCs w:val="30"/>
        </w:rPr>
        <w:t>. Однако, для дальнейшего</w:t>
      </w:r>
      <w:r w:rsidR="000706D0" w:rsidRPr="007E19FF">
        <w:rPr>
          <w:rFonts w:ascii="Times New Roman" w:hAnsi="Times New Roman" w:cs="Times New Roman"/>
          <w:sz w:val="30"/>
          <w:szCs w:val="30"/>
        </w:rPr>
        <w:t xml:space="preserve"> </w:t>
      </w:r>
      <w:r w:rsidR="00BB7DD2" w:rsidRPr="007E19FF">
        <w:rPr>
          <w:rFonts w:ascii="Times New Roman" w:hAnsi="Times New Roman" w:cs="Times New Roman"/>
          <w:sz w:val="30"/>
          <w:szCs w:val="30"/>
        </w:rPr>
        <w:t>осуществления</w:t>
      </w:r>
      <w:r w:rsidR="000706D0" w:rsidRPr="007E19FF">
        <w:rPr>
          <w:rFonts w:ascii="Times New Roman" w:hAnsi="Times New Roman" w:cs="Times New Roman"/>
          <w:sz w:val="30"/>
          <w:szCs w:val="30"/>
        </w:rPr>
        <w:t xml:space="preserve"> возложенных на центры функций и р</w:t>
      </w:r>
      <w:r w:rsidR="00BB7DD2" w:rsidRPr="007E19FF">
        <w:rPr>
          <w:rFonts w:ascii="Times New Roman" w:hAnsi="Times New Roman" w:cs="Times New Roman"/>
          <w:sz w:val="30"/>
          <w:szCs w:val="30"/>
        </w:rPr>
        <w:t>ешения назревших проблем, важным</w:t>
      </w:r>
      <w:r w:rsidR="000706D0" w:rsidRPr="007E19FF">
        <w:rPr>
          <w:rFonts w:ascii="Times New Roman" w:hAnsi="Times New Roman" w:cs="Times New Roman"/>
          <w:sz w:val="30"/>
          <w:szCs w:val="30"/>
        </w:rPr>
        <w:t xml:space="preserve"> остается оперативность, доступность и качество предоставляемых центрами услуг, а также </w:t>
      </w:r>
      <w:r w:rsidR="00BB7DD2" w:rsidRPr="007E19FF">
        <w:rPr>
          <w:rFonts w:ascii="Times New Roman" w:hAnsi="Times New Roman" w:cs="Times New Roman"/>
          <w:sz w:val="30"/>
          <w:szCs w:val="30"/>
        </w:rPr>
        <w:t xml:space="preserve">более </w:t>
      </w:r>
      <w:r w:rsidR="000706D0" w:rsidRPr="007E19FF">
        <w:rPr>
          <w:rFonts w:ascii="Times New Roman" w:hAnsi="Times New Roman" w:cs="Times New Roman"/>
          <w:sz w:val="30"/>
          <w:szCs w:val="30"/>
        </w:rPr>
        <w:t>эффективная популяризация их деятельности.</w:t>
      </w:r>
    </w:p>
    <w:p w:rsidR="005F4778" w:rsidRPr="007E19FF" w:rsidRDefault="005F4778" w:rsidP="00805949">
      <w:pPr>
        <w:tabs>
          <w:tab w:val="left" w:pos="292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4778" w:rsidRPr="007E19FF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653" w:rsidRDefault="00572653" w:rsidP="00572653">
      <w:pPr>
        <w:spacing w:after="0" w:line="240" w:lineRule="auto"/>
      </w:pPr>
      <w:r>
        <w:separator/>
      </w:r>
    </w:p>
  </w:endnote>
  <w:endnote w:type="continuationSeparator" w:id="0">
    <w:p w:rsidR="00572653" w:rsidRDefault="00572653" w:rsidP="0057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3835672"/>
      <w:docPartObj>
        <w:docPartGallery w:val="Page Numbers (Bottom of Page)"/>
        <w:docPartUnique/>
      </w:docPartObj>
    </w:sdtPr>
    <w:sdtEndPr/>
    <w:sdtContent>
      <w:p w:rsidR="00572653" w:rsidRDefault="0057265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8C1">
          <w:rPr>
            <w:noProof/>
          </w:rPr>
          <w:t>11</w:t>
        </w:r>
        <w:r>
          <w:fldChar w:fldCharType="end"/>
        </w:r>
      </w:p>
    </w:sdtContent>
  </w:sdt>
  <w:p w:rsidR="00572653" w:rsidRDefault="005726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653" w:rsidRDefault="00572653" w:rsidP="00572653">
      <w:pPr>
        <w:spacing w:after="0" w:line="240" w:lineRule="auto"/>
      </w:pPr>
      <w:r>
        <w:separator/>
      </w:r>
    </w:p>
  </w:footnote>
  <w:footnote w:type="continuationSeparator" w:id="0">
    <w:p w:rsidR="00572653" w:rsidRDefault="00572653" w:rsidP="00572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28"/>
    <w:rsid w:val="000132A3"/>
    <w:rsid w:val="000172B6"/>
    <w:rsid w:val="0004271E"/>
    <w:rsid w:val="0005095B"/>
    <w:rsid w:val="000706D0"/>
    <w:rsid w:val="0007143E"/>
    <w:rsid w:val="00075933"/>
    <w:rsid w:val="000C2865"/>
    <w:rsid w:val="000E2DF2"/>
    <w:rsid w:val="000E6723"/>
    <w:rsid w:val="00115FA4"/>
    <w:rsid w:val="00130499"/>
    <w:rsid w:val="00140BED"/>
    <w:rsid w:val="0015126A"/>
    <w:rsid w:val="001520C7"/>
    <w:rsid w:val="00157503"/>
    <w:rsid w:val="00157A5F"/>
    <w:rsid w:val="0018190F"/>
    <w:rsid w:val="001A1FE4"/>
    <w:rsid w:val="001A3BB8"/>
    <w:rsid w:val="001B2708"/>
    <w:rsid w:val="001C6070"/>
    <w:rsid w:val="001C65F1"/>
    <w:rsid w:val="001C7302"/>
    <w:rsid w:val="001D0F25"/>
    <w:rsid w:val="001D3708"/>
    <w:rsid w:val="001F5006"/>
    <w:rsid w:val="00211E06"/>
    <w:rsid w:val="002140F0"/>
    <w:rsid w:val="00221B8C"/>
    <w:rsid w:val="002474AE"/>
    <w:rsid w:val="002648FA"/>
    <w:rsid w:val="0027162C"/>
    <w:rsid w:val="0027727E"/>
    <w:rsid w:val="00285E4A"/>
    <w:rsid w:val="002A7ADD"/>
    <w:rsid w:val="002B4637"/>
    <w:rsid w:val="002B6D02"/>
    <w:rsid w:val="002B75FF"/>
    <w:rsid w:val="002C0582"/>
    <w:rsid w:val="002D1AD8"/>
    <w:rsid w:val="002D6338"/>
    <w:rsid w:val="002F153C"/>
    <w:rsid w:val="00342CFF"/>
    <w:rsid w:val="00342DE2"/>
    <w:rsid w:val="0036584D"/>
    <w:rsid w:val="00365A00"/>
    <w:rsid w:val="003712FE"/>
    <w:rsid w:val="00396E6B"/>
    <w:rsid w:val="003A2D1D"/>
    <w:rsid w:val="003A3FA4"/>
    <w:rsid w:val="003B30D0"/>
    <w:rsid w:val="003C67E7"/>
    <w:rsid w:val="003E17CA"/>
    <w:rsid w:val="00404170"/>
    <w:rsid w:val="004066DD"/>
    <w:rsid w:val="0040777B"/>
    <w:rsid w:val="00421657"/>
    <w:rsid w:val="00441279"/>
    <w:rsid w:val="004470E5"/>
    <w:rsid w:val="00452BFE"/>
    <w:rsid w:val="00473694"/>
    <w:rsid w:val="00474EDD"/>
    <w:rsid w:val="00485955"/>
    <w:rsid w:val="00492EA4"/>
    <w:rsid w:val="004B0CF2"/>
    <w:rsid w:val="004C32E2"/>
    <w:rsid w:val="004E763F"/>
    <w:rsid w:val="004F62F8"/>
    <w:rsid w:val="00514800"/>
    <w:rsid w:val="005208A9"/>
    <w:rsid w:val="0052749F"/>
    <w:rsid w:val="00530F10"/>
    <w:rsid w:val="00535C24"/>
    <w:rsid w:val="00545666"/>
    <w:rsid w:val="00556FA8"/>
    <w:rsid w:val="005725B6"/>
    <w:rsid w:val="00572653"/>
    <w:rsid w:val="005B1E6C"/>
    <w:rsid w:val="005B3964"/>
    <w:rsid w:val="005C41DE"/>
    <w:rsid w:val="005D013D"/>
    <w:rsid w:val="005D5639"/>
    <w:rsid w:val="005F4778"/>
    <w:rsid w:val="005F674C"/>
    <w:rsid w:val="005F6F9A"/>
    <w:rsid w:val="006114CB"/>
    <w:rsid w:val="0062157B"/>
    <w:rsid w:val="00622961"/>
    <w:rsid w:val="00640903"/>
    <w:rsid w:val="0064277A"/>
    <w:rsid w:val="00647AB0"/>
    <w:rsid w:val="006610B5"/>
    <w:rsid w:val="006705F4"/>
    <w:rsid w:val="00675EC6"/>
    <w:rsid w:val="00696725"/>
    <w:rsid w:val="006B0B75"/>
    <w:rsid w:val="006B36BF"/>
    <w:rsid w:val="006B67E6"/>
    <w:rsid w:val="006B6E30"/>
    <w:rsid w:val="006E09EE"/>
    <w:rsid w:val="006E454B"/>
    <w:rsid w:val="0070304F"/>
    <w:rsid w:val="007205E1"/>
    <w:rsid w:val="0072634A"/>
    <w:rsid w:val="00753358"/>
    <w:rsid w:val="00772874"/>
    <w:rsid w:val="007A0865"/>
    <w:rsid w:val="007B6840"/>
    <w:rsid w:val="007E09DE"/>
    <w:rsid w:val="007E19FF"/>
    <w:rsid w:val="007F42FB"/>
    <w:rsid w:val="007F5C78"/>
    <w:rsid w:val="00805949"/>
    <w:rsid w:val="008077C2"/>
    <w:rsid w:val="008444AF"/>
    <w:rsid w:val="00853177"/>
    <w:rsid w:val="00855137"/>
    <w:rsid w:val="00867EEB"/>
    <w:rsid w:val="00872F36"/>
    <w:rsid w:val="00882EC9"/>
    <w:rsid w:val="008902F6"/>
    <w:rsid w:val="00897338"/>
    <w:rsid w:val="008A51E3"/>
    <w:rsid w:val="008E086A"/>
    <w:rsid w:val="008E144F"/>
    <w:rsid w:val="008E607E"/>
    <w:rsid w:val="00914DF9"/>
    <w:rsid w:val="00917F19"/>
    <w:rsid w:val="009203EF"/>
    <w:rsid w:val="00925C40"/>
    <w:rsid w:val="009367AC"/>
    <w:rsid w:val="00944628"/>
    <w:rsid w:val="009543C5"/>
    <w:rsid w:val="009809CF"/>
    <w:rsid w:val="00995940"/>
    <w:rsid w:val="009960A7"/>
    <w:rsid w:val="009A3B00"/>
    <w:rsid w:val="009A5995"/>
    <w:rsid w:val="009A63CF"/>
    <w:rsid w:val="009B5B7A"/>
    <w:rsid w:val="009C5F9C"/>
    <w:rsid w:val="00A00185"/>
    <w:rsid w:val="00A148BC"/>
    <w:rsid w:val="00A54B8F"/>
    <w:rsid w:val="00A7666B"/>
    <w:rsid w:val="00A83982"/>
    <w:rsid w:val="00A97C15"/>
    <w:rsid w:val="00AA3152"/>
    <w:rsid w:val="00AA5AF8"/>
    <w:rsid w:val="00AB3D4D"/>
    <w:rsid w:val="00AD6BEA"/>
    <w:rsid w:val="00B13E09"/>
    <w:rsid w:val="00B246B4"/>
    <w:rsid w:val="00B34DC5"/>
    <w:rsid w:val="00B46FB3"/>
    <w:rsid w:val="00B52B03"/>
    <w:rsid w:val="00B547C2"/>
    <w:rsid w:val="00B560B5"/>
    <w:rsid w:val="00B616E0"/>
    <w:rsid w:val="00B77AB0"/>
    <w:rsid w:val="00B81EBA"/>
    <w:rsid w:val="00B92F2E"/>
    <w:rsid w:val="00B9716B"/>
    <w:rsid w:val="00B9720F"/>
    <w:rsid w:val="00BA1E3B"/>
    <w:rsid w:val="00BA55F1"/>
    <w:rsid w:val="00BB1F84"/>
    <w:rsid w:val="00BB2A60"/>
    <w:rsid w:val="00BB7DD2"/>
    <w:rsid w:val="00BC68C1"/>
    <w:rsid w:val="00BE72A3"/>
    <w:rsid w:val="00BF58BD"/>
    <w:rsid w:val="00C06EEC"/>
    <w:rsid w:val="00C449CB"/>
    <w:rsid w:val="00C473B3"/>
    <w:rsid w:val="00C7745E"/>
    <w:rsid w:val="00C87A29"/>
    <w:rsid w:val="00CA4853"/>
    <w:rsid w:val="00CB549F"/>
    <w:rsid w:val="00CD0B13"/>
    <w:rsid w:val="00D12DDB"/>
    <w:rsid w:val="00D200E6"/>
    <w:rsid w:val="00D33403"/>
    <w:rsid w:val="00D5198D"/>
    <w:rsid w:val="00D73A9C"/>
    <w:rsid w:val="00D77FD4"/>
    <w:rsid w:val="00D82633"/>
    <w:rsid w:val="00D84992"/>
    <w:rsid w:val="00D8611C"/>
    <w:rsid w:val="00D875E6"/>
    <w:rsid w:val="00D913B1"/>
    <w:rsid w:val="00DB74C4"/>
    <w:rsid w:val="00DB7EDA"/>
    <w:rsid w:val="00DE6A23"/>
    <w:rsid w:val="00E1111C"/>
    <w:rsid w:val="00E11B90"/>
    <w:rsid w:val="00E42ED1"/>
    <w:rsid w:val="00E6131A"/>
    <w:rsid w:val="00E62144"/>
    <w:rsid w:val="00E64D51"/>
    <w:rsid w:val="00E80B98"/>
    <w:rsid w:val="00E82900"/>
    <w:rsid w:val="00EA0F15"/>
    <w:rsid w:val="00EA0F6F"/>
    <w:rsid w:val="00EA420F"/>
    <w:rsid w:val="00EC1396"/>
    <w:rsid w:val="00EC573A"/>
    <w:rsid w:val="00EE2D68"/>
    <w:rsid w:val="00F03668"/>
    <w:rsid w:val="00F04C51"/>
    <w:rsid w:val="00F157EF"/>
    <w:rsid w:val="00F42469"/>
    <w:rsid w:val="00F42AEF"/>
    <w:rsid w:val="00F452A5"/>
    <w:rsid w:val="00F46AE5"/>
    <w:rsid w:val="00F52A12"/>
    <w:rsid w:val="00F52EE5"/>
    <w:rsid w:val="00F578C5"/>
    <w:rsid w:val="00F603A1"/>
    <w:rsid w:val="00F625D8"/>
    <w:rsid w:val="00F65A1C"/>
    <w:rsid w:val="00F66AA9"/>
    <w:rsid w:val="00F850FC"/>
    <w:rsid w:val="00FA7EEA"/>
    <w:rsid w:val="00FB1738"/>
    <w:rsid w:val="00FC6FA3"/>
    <w:rsid w:val="00FD22F0"/>
    <w:rsid w:val="00FE6FDB"/>
    <w:rsid w:val="00F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E9B7F-C290-41E1-96A4-E61FAD53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9C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2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2653"/>
  </w:style>
  <w:style w:type="paragraph" w:styleId="a7">
    <w:name w:val="footer"/>
    <w:basedOn w:val="a"/>
    <w:link w:val="a8"/>
    <w:uiPriority w:val="99"/>
    <w:unhideWhenUsed/>
    <w:rsid w:val="00572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Лист1!$A$2:$A$7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580</c:v>
                </c:pt>
                <c:pt idx="1">
                  <c:v>588</c:v>
                </c:pt>
                <c:pt idx="2">
                  <c:v>603</c:v>
                </c:pt>
                <c:pt idx="3">
                  <c:v>611</c:v>
                </c:pt>
                <c:pt idx="4">
                  <c:v>614</c:v>
                </c:pt>
                <c:pt idx="5">
                  <c:v>627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20204160"/>
        <c:axId val="420205336"/>
      </c:lineChart>
      <c:catAx>
        <c:axId val="420204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205336"/>
        <c:crosses val="autoZero"/>
        <c:auto val="1"/>
        <c:lblAlgn val="ctr"/>
        <c:lblOffset val="100"/>
        <c:noMultiLvlLbl val="0"/>
      </c:catAx>
      <c:valAx>
        <c:axId val="420205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204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0145245788499545"/>
          <c:w val="0.97820797504914392"/>
          <c:h val="0.5863416674509311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5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4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1.2711209216002812E-2"/>
                  <c:y val="-4.78087649402390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495524879473748E-2"/>
                  <c:y val="-1.51469711704363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3467092764032086E-2"/>
                  <c:y val="8.15007685792261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Самостоятельное структурное подразделение</c:v>
                </c:pt>
                <c:pt idx="1">
                  <c:v>В стуктуре отдела</c:v>
                </c:pt>
                <c:pt idx="2">
                  <c:v>Структурное подразделение не выделено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320</c:v>
                </c:pt>
                <c:pt idx="2">
                  <c:v>298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Пользователи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3949903660886318E-2"/>
                  <c:y val="0.1060606060606060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6518946692357096E-2"/>
                  <c:y val="0.1060606060606059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1380860629415541E-2"/>
                  <c:y val="6.06060606060606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3949903660886415E-2"/>
                  <c:y val="7.57575757575756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1104688503532431E-2"/>
                  <c:y val="7.0707070707070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64053</c:v>
                </c:pt>
                <c:pt idx="1">
                  <c:v>57967</c:v>
                </c:pt>
                <c:pt idx="2">
                  <c:v>57821</c:v>
                </c:pt>
                <c:pt idx="3">
                  <c:v>58606</c:v>
                </c:pt>
                <c:pt idx="4">
                  <c:v>50150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Посещения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7.0648683365446371E-2"/>
                  <c:y val="-5.05050505050505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238921001926782E-2"/>
                  <c:y val="-5.55555555555555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4682080924855446E-2"/>
                  <c:y val="-6.06060606060606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9543994861913937E-2"/>
                  <c:y val="-5.05050505050505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6698779704560147E-2"/>
                  <c:y val="-6.56565656565657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127006</c:v>
                </c:pt>
                <c:pt idx="1">
                  <c:v>130743</c:v>
                </c:pt>
                <c:pt idx="2">
                  <c:v>123822</c:v>
                </c:pt>
                <c:pt idx="3">
                  <c:v>121991</c:v>
                </c:pt>
                <c:pt idx="4">
                  <c:v>101286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Справки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7.4502247912652531E-2"/>
                  <c:y val="-6.06060606060606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3673731535003209E-2"/>
                  <c:y val="-5.55555555555555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1726076689531136E-2"/>
                  <c:y val="-5.58919422449930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7228156977397955E-2"/>
                  <c:y val="-3.72612948299953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5742718992466067E-2"/>
                  <c:y val="-3.72612948299954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94744</c:v>
                </c:pt>
                <c:pt idx="1">
                  <c:v>98589</c:v>
                </c:pt>
                <c:pt idx="2">
                  <c:v>96586</c:v>
                </c:pt>
                <c:pt idx="3">
                  <c:v>94404</c:v>
                </c:pt>
                <c:pt idx="4">
                  <c:v>80164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Обращения к БД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7.1933204881181781E-2"/>
                  <c:y val="-6.06060606060606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3949903660886318E-2"/>
                  <c:y val="-6.06060606060606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9364161849710934E-2"/>
                  <c:y val="-5.05050505050505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908798972382797E-2"/>
                  <c:y val="-6.06060606060606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8259473346178642E-2"/>
                  <c:y val="-4.54545454545454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67764</c:v>
                </c:pt>
                <c:pt idx="1">
                  <c:v>68202</c:v>
                </c:pt>
                <c:pt idx="2">
                  <c:v>64438</c:v>
                </c:pt>
                <c:pt idx="3">
                  <c:v>64411</c:v>
                </c:pt>
                <c:pt idx="4">
                  <c:v>54953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0203768"/>
        <c:axId val="420206120"/>
      </c:lineChart>
      <c:catAx>
        <c:axId val="420203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0206120"/>
        <c:crosses val="autoZero"/>
        <c:auto val="1"/>
        <c:lblAlgn val="ctr"/>
        <c:lblOffset val="100"/>
        <c:noMultiLvlLbl val="0"/>
      </c:catAx>
      <c:valAx>
        <c:axId val="420206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0203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Рабочие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8990</c:v>
                </c:pt>
                <c:pt idx="1">
                  <c:v>8821</c:v>
                </c:pt>
                <c:pt idx="2">
                  <c:v>8742</c:v>
                </c:pt>
                <c:pt idx="3">
                  <c:v>8412</c:v>
                </c:pt>
                <c:pt idx="4">
                  <c:v>7948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Служащие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17472</c:v>
                </c:pt>
                <c:pt idx="1">
                  <c:v>16877</c:v>
                </c:pt>
                <c:pt idx="2">
                  <c:v>15794</c:v>
                </c:pt>
                <c:pt idx="3">
                  <c:v>16412</c:v>
                </c:pt>
                <c:pt idx="4">
                  <c:v>14912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Учащиеся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12214</c:v>
                </c:pt>
                <c:pt idx="1">
                  <c:v>11566</c:v>
                </c:pt>
                <c:pt idx="2">
                  <c:v>12094</c:v>
                </c:pt>
                <c:pt idx="3">
                  <c:v>11340</c:v>
                </c:pt>
                <c:pt idx="4">
                  <c:v>8109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Пенсионеры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10933</c:v>
                </c:pt>
                <c:pt idx="1">
                  <c:v>9380</c:v>
                </c:pt>
                <c:pt idx="2">
                  <c:v>9516</c:v>
                </c:pt>
                <c:pt idx="3">
                  <c:v>10364</c:v>
                </c:pt>
                <c:pt idx="4">
                  <c:v>9088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Безработные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4403</c:v>
                </c:pt>
                <c:pt idx="1">
                  <c:v>4404</c:v>
                </c:pt>
                <c:pt idx="2">
                  <c:v>3864</c:v>
                </c:pt>
                <c:pt idx="3">
                  <c:v>3646</c:v>
                </c:pt>
                <c:pt idx="4">
                  <c:v>2965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Другие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10041</c:v>
                </c:pt>
                <c:pt idx="1">
                  <c:v>6919</c:v>
                </c:pt>
                <c:pt idx="2">
                  <c:v>7811</c:v>
                </c:pt>
                <c:pt idx="3">
                  <c:v>8432</c:v>
                </c:pt>
                <c:pt idx="4">
                  <c:v>7128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20207296"/>
        <c:axId val="420204944"/>
      </c:barChart>
      <c:catAx>
        <c:axId val="420207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0204944"/>
        <c:crosses val="autoZero"/>
        <c:auto val="1"/>
        <c:lblAlgn val="ctr"/>
        <c:lblOffset val="100"/>
        <c:noMultiLvlLbl val="0"/>
      </c:catAx>
      <c:valAx>
        <c:axId val="420204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0207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специальное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Другое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39802168"/>
        <c:axId val="639801776"/>
      </c:barChart>
      <c:catAx>
        <c:axId val="63980216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639801776"/>
        <c:crosses val="autoZero"/>
        <c:auto val="1"/>
        <c:lblAlgn val="ctr"/>
        <c:lblOffset val="100"/>
        <c:noMultiLvlLbl val="0"/>
      </c:catAx>
      <c:valAx>
        <c:axId val="639801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39802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2576</c:v>
                </c:pt>
                <c:pt idx="1">
                  <c:v>2681</c:v>
                </c:pt>
                <c:pt idx="2">
                  <c:v>2872</c:v>
                </c:pt>
                <c:pt idx="3">
                  <c:v>3585</c:v>
                </c:pt>
                <c:pt idx="4">
                  <c:v>3596</c:v>
                </c:pt>
                <c:pt idx="5">
                  <c:v>2941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39800208"/>
        <c:axId val="639802952"/>
      </c:lineChart>
      <c:catAx>
        <c:axId val="639800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39802952"/>
        <c:crosses val="autoZero"/>
        <c:auto val="1"/>
        <c:lblAlgn val="ctr"/>
        <c:lblOffset val="100"/>
        <c:noMultiLvlLbl val="0"/>
      </c:catAx>
      <c:valAx>
        <c:axId val="639802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39800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1405</c:v>
                </c:pt>
                <c:pt idx="1">
                  <c:v>1647</c:v>
                </c:pt>
                <c:pt idx="2">
                  <c:v>3289</c:v>
                </c:pt>
                <c:pt idx="3">
                  <c:v>3998</c:v>
                </c:pt>
                <c:pt idx="4">
                  <c:v>2320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639800600"/>
        <c:axId val="639800992"/>
      </c:barChart>
      <c:catAx>
        <c:axId val="639800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39800992"/>
        <c:crosses val="autoZero"/>
        <c:auto val="1"/>
        <c:lblAlgn val="ctr"/>
        <c:lblOffset val="100"/>
        <c:noMultiLvlLbl val="0"/>
      </c:catAx>
      <c:valAx>
        <c:axId val="639800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39800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Доклады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73</c:v>
                </c:pt>
                <c:pt idx="1">
                  <c:v>103</c:v>
                </c:pt>
                <c:pt idx="2">
                  <c:v>88</c:v>
                </c:pt>
                <c:pt idx="3">
                  <c:v>65</c:v>
                </c:pt>
                <c:pt idx="4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Публикации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93</c:v>
                </c:pt>
                <c:pt idx="1">
                  <c:v>253</c:v>
                </c:pt>
                <c:pt idx="2">
                  <c:v>430</c:v>
                </c:pt>
                <c:pt idx="3">
                  <c:v>351</c:v>
                </c:pt>
                <c:pt idx="4">
                  <c:v>339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39801384"/>
        <c:axId val="355990848"/>
      </c:barChart>
      <c:catAx>
        <c:axId val="639801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55990848"/>
        <c:crosses val="autoZero"/>
        <c:auto val="1"/>
        <c:lblAlgn val="ctr"/>
        <c:lblOffset val="100"/>
        <c:noMultiLvlLbl val="0"/>
      </c:catAx>
      <c:valAx>
        <c:axId val="3559908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39801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0FFAF-3A9F-4FBC-9100-3E5937AD0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11</Pages>
  <Words>2311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Kuketa Irina M.</dc:creator>
  <cp:keywords/>
  <dc:description/>
  <cp:lastModifiedBy>Yakovenko Eleva V.</cp:lastModifiedBy>
  <cp:revision>203</cp:revision>
  <cp:lastPrinted>2021-11-11T12:29:00Z</cp:lastPrinted>
  <dcterms:created xsi:type="dcterms:W3CDTF">2021-09-27T05:59:00Z</dcterms:created>
  <dcterms:modified xsi:type="dcterms:W3CDTF">2022-05-26T14:18:00Z</dcterms:modified>
</cp:coreProperties>
</file>